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82B" w:rsidRPr="00F50B51" w:rsidRDefault="00F80EE7">
      <w:pPr>
        <w:spacing w:before="2400" w:line="773" w:lineRule="exact"/>
        <w:jc w:val="center"/>
        <w:rPr>
          <w:rFonts w:ascii="宋体" w:eastAsia="宋体" w:hAnsi="宋体" w:cs="宋体"/>
          <w:b/>
          <w:bCs/>
          <w:sz w:val="36"/>
          <w:szCs w:val="36"/>
        </w:rPr>
      </w:pPr>
      <w:r w:rsidRPr="00F50B51">
        <w:rPr>
          <w:rFonts w:ascii="宋体" w:eastAsia="宋体" w:hAnsi="宋体" w:cs="宋体"/>
          <w:b/>
          <w:bCs/>
          <w:sz w:val="36"/>
          <w:szCs w:val="36"/>
        </w:rPr>
        <w:t>广东翔鹭钨业股份有限公司</w:t>
      </w:r>
    </w:p>
    <w:p w:rsidR="0058782B" w:rsidRPr="00F50B51" w:rsidRDefault="00F80EE7">
      <w:pPr>
        <w:spacing w:before="1000" w:line="320" w:lineRule="exact"/>
        <w:jc w:val="center"/>
        <w:rPr>
          <w:rFonts w:ascii="宋体" w:eastAsia="宋体" w:hAnsi="宋体" w:cs="宋体"/>
          <w:b/>
          <w:bCs/>
          <w:sz w:val="32"/>
          <w:szCs w:val="32"/>
        </w:rPr>
      </w:pPr>
      <w:r w:rsidRPr="00F50B51">
        <w:rPr>
          <w:rFonts w:ascii="宋体" w:eastAsia="宋体" w:hAnsi="宋体" w:cs="宋体"/>
          <w:b/>
          <w:bCs/>
          <w:sz w:val="32"/>
          <w:szCs w:val="32"/>
        </w:rPr>
        <w:t>2022</w:t>
      </w:r>
      <w:r w:rsidRPr="00F50B51">
        <w:rPr>
          <w:rFonts w:ascii="宋体" w:eastAsia="宋体" w:hAnsi="宋体" w:cs="宋体"/>
          <w:b/>
          <w:bCs/>
          <w:sz w:val="32"/>
          <w:szCs w:val="32"/>
        </w:rPr>
        <w:t>年半年度报告</w:t>
      </w:r>
    </w:p>
    <w:p w:rsidR="0058782B" w:rsidRPr="00F50B51" w:rsidRDefault="0058782B">
      <w:pPr>
        <w:spacing w:before="1000" w:line="240" w:lineRule="exact"/>
        <w:jc w:val="center"/>
        <w:rPr>
          <w:rFonts w:ascii="宋体" w:eastAsia="宋体" w:hAnsi="宋体" w:cs="宋体"/>
          <w:b/>
          <w:bCs/>
          <w:szCs w:val="21"/>
        </w:rPr>
      </w:pPr>
    </w:p>
    <w:p w:rsidR="0058782B" w:rsidRPr="00F50B51" w:rsidRDefault="00F80EE7">
      <w:pPr>
        <w:spacing w:before="1000" w:after="1000" w:line="0" w:lineRule="atLeast"/>
        <w:jc w:val="center"/>
        <w:rPr>
          <w:rFonts w:ascii="Times New Roman" w:eastAsia="宋体" w:hAnsi="Times New Roman" w:cs="Times New Roman"/>
        </w:rPr>
      </w:pPr>
      <w:r w:rsidRPr="00F50B51">
        <w:rPr>
          <w:rFonts w:ascii="Times New Roman" w:eastAsia="宋体" w:hAnsi="Times New Roman" w:cs="Times New Roman"/>
          <w:noProof/>
        </w:rPr>
        <w:drawing>
          <wp:inline distT="0" distB="0" distL="0" distR="0">
            <wp:extent cx="3333750"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stretch>
                      <a:fillRect/>
                    </a:stretch>
                  </pic:blipFill>
                  <pic:spPr>
                    <a:xfrm>
                      <a:off x="0" y="0"/>
                      <a:ext cx="3333750" cy="3333750"/>
                    </a:xfrm>
                    <a:prstGeom prst="rect">
                      <a:avLst/>
                    </a:prstGeom>
                  </pic:spPr>
                </pic:pic>
              </a:graphicData>
            </a:graphic>
          </wp:inline>
        </w:drawing>
      </w:r>
    </w:p>
    <w:p w:rsidR="0058782B" w:rsidRPr="00F50B51" w:rsidRDefault="00F80EE7">
      <w:pPr>
        <w:spacing w:before="400" w:line="320" w:lineRule="exact"/>
        <w:jc w:val="center"/>
        <w:rPr>
          <w:rFonts w:ascii="宋体" w:eastAsia="宋体" w:hAnsi="宋体" w:cs="宋体"/>
          <w:b/>
          <w:bCs/>
          <w:sz w:val="32"/>
          <w:szCs w:val="32"/>
        </w:rPr>
      </w:pPr>
      <w:r w:rsidRPr="00F50B51">
        <w:rPr>
          <w:rFonts w:ascii="宋体" w:eastAsia="宋体" w:hAnsi="宋体" w:cs="宋体" w:hint="eastAsia"/>
          <w:b/>
          <w:bCs/>
          <w:sz w:val="32"/>
          <w:szCs w:val="32"/>
        </w:rPr>
        <w:t>2022</w:t>
      </w:r>
      <w:r w:rsidRPr="00F50B51">
        <w:rPr>
          <w:rFonts w:ascii="宋体" w:eastAsia="宋体" w:hAnsi="宋体" w:cs="宋体" w:hint="eastAsia"/>
          <w:b/>
          <w:bCs/>
          <w:sz w:val="32"/>
          <w:szCs w:val="32"/>
        </w:rPr>
        <w:t>年</w:t>
      </w:r>
      <w:r w:rsidRPr="00F50B51">
        <w:rPr>
          <w:rFonts w:ascii="宋体" w:eastAsia="宋体" w:hAnsi="宋体" w:cs="宋体" w:hint="eastAsia"/>
          <w:b/>
          <w:bCs/>
          <w:sz w:val="32"/>
          <w:szCs w:val="32"/>
        </w:rPr>
        <w:t>8</w:t>
      </w:r>
      <w:r w:rsidRPr="00F50B51">
        <w:rPr>
          <w:rFonts w:ascii="宋体" w:eastAsia="宋体" w:hAnsi="宋体" w:cs="宋体" w:hint="eastAsia"/>
          <w:b/>
          <w:bCs/>
          <w:sz w:val="32"/>
          <w:szCs w:val="32"/>
        </w:rPr>
        <w:t>月</w:t>
      </w:r>
      <w:r w:rsidRPr="00F50B51">
        <w:rPr>
          <w:rFonts w:ascii="宋体" w:eastAsia="宋体" w:hAnsi="宋体" w:cs="宋体" w:hint="eastAsia"/>
          <w:b/>
          <w:bCs/>
          <w:sz w:val="32"/>
          <w:szCs w:val="32"/>
        </w:rPr>
        <w:t>23</w:t>
      </w:r>
      <w:r w:rsidRPr="00F50B51">
        <w:rPr>
          <w:rFonts w:ascii="宋体" w:eastAsia="宋体" w:hAnsi="宋体" w:cs="宋体" w:hint="eastAsia"/>
          <w:b/>
          <w:bCs/>
          <w:sz w:val="32"/>
          <w:szCs w:val="32"/>
        </w:rPr>
        <w:t>日</w:t>
      </w:r>
    </w:p>
    <w:p w:rsidR="0058782B" w:rsidRPr="00F50B51" w:rsidRDefault="00F80EE7">
      <w:r w:rsidRPr="00F50B51">
        <w:br w:type="page"/>
      </w:r>
    </w:p>
    <w:p w:rsidR="0058782B" w:rsidRPr="00F50B51" w:rsidRDefault="00F80EE7">
      <w:pPr>
        <w:pStyle w:val="headingh1"/>
        <w:spacing w:before="340" w:after="330" w:line="773" w:lineRule="exact"/>
        <w:jc w:val="center"/>
        <w:rPr>
          <w:rFonts w:ascii="宋体" w:eastAsia="宋体" w:hAnsi="宋体" w:cs="宋体"/>
          <w:b/>
          <w:bCs/>
          <w:sz w:val="32"/>
          <w:szCs w:val="32"/>
        </w:rPr>
      </w:pPr>
      <w:bookmarkStart w:id="0" w:name="_Toc988889"/>
      <w:r w:rsidRPr="00F50B51">
        <w:rPr>
          <w:rFonts w:ascii="宋体" w:eastAsia="宋体" w:hAnsi="宋体" w:cs="宋体"/>
          <w:b/>
          <w:bCs/>
          <w:sz w:val="32"/>
          <w:szCs w:val="32"/>
        </w:rPr>
        <w:lastRenderedPageBreak/>
        <w:t>第一节</w:t>
      </w:r>
      <w:r w:rsidRPr="00F50B51">
        <w:rPr>
          <w:rFonts w:ascii="宋体" w:eastAsia="宋体" w:hAnsi="宋体" w:cs="宋体"/>
          <w:b/>
          <w:bCs/>
          <w:sz w:val="32"/>
          <w:szCs w:val="32"/>
        </w:rPr>
        <w:t xml:space="preserve"> </w:t>
      </w:r>
      <w:r w:rsidRPr="00F50B51">
        <w:rPr>
          <w:rFonts w:ascii="宋体" w:eastAsia="宋体" w:hAnsi="宋体" w:cs="宋体"/>
          <w:b/>
          <w:bCs/>
          <w:sz w:val="32"/>
          <w:szCs w:val="32"/>
        </w:rPr>
        <w:t>重要提示、目录和释义</w:t>
      </w:r>
      <w:bookmarkEnd w:id="0"/>
    </w:p>
    <w:p w:rsidR="0058782B" w:rsidRPr="00F50B51" w:rsidRDefault="00F80EE7" w:rsidP="00F50B51">
      <w:pPr>
        <w:spacing w:before="40" w:after="40" w:line="560" w:lineRule="exact"/>
        <w:ind w:firstLineChars="200" w:firstLine="562"/>
        <w:rPr>
          <w:rFonts w:ascii="宋体" w:eastAsia="宋体" w:hAnsi="宋体" w:cs="宋体"/>
          <w:b/>
          <w:bCs/>
          <w:sz w:val="28"/>
          <w:szCs w:val="28"/>
        </w:rPr>
      </w:pPr>
      <w:r w:rsidRPr="00F50B51">
        <w:rPr>
          <w:rFonts w:ascii="宋体" w:eastAsia="宋体" w:hAnsi="宋体" w:cs="宋体"/>
          <w:b/>
          <w:bCs/>
          <w:sz w:val="28"/>
          <w:szCs w:val="28"/>
        </w:rPr>
        <w:t>公司董事会、监事会及董事、监事、高级管理人员保证半年度报告内容的真实、准确、完整，不存在虚假记载、误导性陈述或者重大遗漏，并承担个别和连带的法律责任。</w:t>
      </w:r>
    </w:p>
    <w:p w:rsidR="0058782B" w:rsidRPr="00F50B51" w:rsidRDefault="00F80EE7" w:rsidP="00F50B51">
      <w:pPr>
        <w:spacing w:line="560" w:lineRule="exact"/>
        <w:ind w:firstLineChars="200" w:firstLine="562"/>
        <w:rPr>
          <w:rFonts w:ascii="宋体" w:eastAsia="宋体" w:hAnsi="宋体" w:cs="宋体"/>
          <w:b/>
          <w:bCs/>
          <w:sz w:val="28"/>
          <w:szCs w:val="28"/>
        </w:rPr>
      </w:pPr>
      <w:r w:rsidRPr="00F50B51">
        <w:rPr>
          <w:rFonts w:ascii="宋体" w:eastAsia="宋体" w:hAnsi="宋体" w:cs="宋体"/>
          <w:b/>
          <w:bCs/>
          <w:sz w:val="28"/>
          <w:szCs w:val="28"/>
        </w:rPr>
        <w:t>公司负责人陈启丰、主管会计工作负责人郑丽芳及会计机构负责人</w:t>
      </w:r>
      <w:r w:rsidRPr="00F50B51">
        <w:rPr>
          <w:rFonts w:ascii="宋体" w:eastAsia="宋体" w:hAnsi="宋体" w:cs="宋体"/>
          <w:b/>
          <w:bCs/>
          <w:sz w:val="28"/>
          <w:szCs w:val="28"/>
        </w:rPr>
        <w:t>(</w:t>
      </w:r>
      <w:r w:rsidRPr="00F50B51">
        <w:rPr>
          <w:rFonts w:ascii="宋体" w:eastAsia="宋体" w:hAnsi="宋体" w:cs="宋体"/>
          <w:b/>
          <w:bCs/>
          <w:sz w:val="28"/>
          <w:szCs w:val="28"/>
        </w:rPr>
        <w:t>会计主管人员</w:t>
      </w:r>
      <w:r w:rsidRPr="00F50B51">
        <w:rPr>
          <w:rFonts w:ascii="宋体" w:eastAsia="宋体" w:hAnsi="宋体" w:cs="宋体"/>
          <w:b/>
          <w:bCs/>
          <w:sz w:val="28"/>
          <w:szCs w:val="28"/>
        </w:rPr>
        <w:t>)</w:t>
      </w:r>
      <w:r w:rsidRPr="00F50B51">
        <w:rPr>
          <w:rFonts w:ascii="宋体" w:eastAsia="宋体" w:hAnsi="宋体" w:cs="宋体"/>
          <w:b/>
          <w:bCs/>
          <w:sz w:val="28"/>
          <w:szCs w:val="28"/>
        </w:rPr>
        <w:t>陈东洁声明：保证本半年度报告中财务报告的真实、准确、完整。</w:t>
      </w:r>
    </w:p>
    <w:p w:rsidR="0058782B" w:rsidRPr="00F50B51" w:rsidRDefault="00F80EE7" w:rsidP="00F50B51">
      <w:pPr>
        <w:spacing w:line="560" w:lineRule="exact"/>
        <w:ind w:firstLineChars="200" w:firstLine="562"/>
        <w:rPr>
          <w:rFonts w:ascii="宋体" w:eastAsia="宋体" w:hAnsi="宋体" w:cs="宋体"/>
          <w:b/>
          <w:bCs/>
          <w:sz w:val="28"/>
          <w:szCs w:val="28"/>
        </w:rPr>
      </w:pPr>
      <w:r w:rsidRPr="00F50B51">
        <w:rPr>
          <w:rFonts w:ascii="宋体" w:eastAsia="宋体" w:hAnsi="宋体" w:cs="宋体"/>
          <w:b/>
          <w:bCs/>
          <w:sz w:val="28"/>
          <w:szCs w:val="28"/>
        </w:rPr>
        <w:t>所有董事均已出席了审议本报告的董事会会议。</w:t>
      </w:r>
    </w:p>
    <w:p w:rsidR="0058782B" w:rsidRPr="00F50B51" w:rsidRDefault="00F80EE7">
      <w:pPr>
        <w:pStyle w:val="a7"/>
        <w:spacing w:line="560" w:lineRule="atLeast"/>
        <w:ind w:firstLine="480"/>
        <w:rPr>
          <w:b/>
          <w:bCs/>
          <w:sz w:val="28"/>
          <w:szCs w:val="28"/>
        </w:rPr>
      </w:pPr>
      <w:r w:rsidRPr="00F50B51">
        <w:rPr>
          <w:rFonts w:hint="eastAsia"/>
          <w:b/>
          <w:bCs/>
          <w:sz w:val="28"/>
          <w:szCs w:val="28"/>
        </w:rPr>
        <w:t>1</w:t>
      </w:r>
      <w:r w:rsidRPr="00F50B51">
        <w:rPr>
          <w:rFonts w:hint="eastAsia"/>
          <w:b/>
          <w:bCs/>
          <w:sz w:val="28"/>
          <w:szCs w:val="28"/>
        </w:rPr>
        <w:t>、宏观经济波动对公司营业绩的影响</w:t>
      </w:r>
    </w:p>
    <w:p w:rsidR="0058782B" w:rsidRPr="00F50B51" w:rsidRDefault="00F80EE7">
      <w:pPr>
        <w:pStyle w:val="a7"/>
        <w:spacing w:line="560" w:lineRule="atLeast"/>
        <w:ind w:firstLine="480"/>
        <w:rPr>
          <w:b/>
          <w:bCs/>
          <w:sz w:val="28"/>
          <w:szCs w:val="28"/>
        </w:rPr>
      </w:pPr>
      <w:r w:rsidRPr="00F50B51">
        <w:rPr>
          <w:rFonts w:hint="eastAsia"/>
          <w:b/>
          <w:bCs/>
          <w:sz w:val="28"/>
          <w:szCs w:val="28"/>
        </w:rPr>
        <w:t>钨产品广泛应用于装备制造、机械加工、冶金矿山、军工和电子通讯行业等各个行业，但如果公司主要客户所在国家经济出现周期性大幅波动，将对钨产品市场需求以及公司应收账款的回收产生较大影响，进而使得公司经营业绩受到影响。</w:t>
      </w:r>
    </w:p>
    <w:p w:rsidR="0058782B" w:rsidRPr="00F50B51" w:rsidRDefault="00F80EE7">
      <w:pPr>
        <w:pStyle w:val="a7"/>
        <w:spacing w:line="560" w:lineRule="atLeast"/>
        <w:ind w:firstLine="480"/>
        <w:rPr>
          <w:b/>
          <w:bCs/>
          <w:sz w:val="28"/>
          <w:szCs w:val="28"/>
        </w:rPr>
      </w:pPr>
      <w:r w:rsidRPr="00F50B51">
        <w:rPr>
          <w:rFonts w:hint="eastAsia"/>
          <w:b/>
          <w:bCs/>
          <w:sz w:val="28"/>
          <w:szCs w:val="28"/>
        </w:rPr>
        <w:t>2</w:t>
      </w:r>
      <w:r w:rsidRPr="00F50B51">
        <w:rPr>
          <w:rFonts w:hint="eastAsia"/>
          <w:b/>
          <w:bCs/>
          <w:sz w:val="28"/>
          <w:szCs w:val="28"/>
        </w:rPr>
        <w:t>、原材料供应及价格风险</w:t>
      </w:r>
    </w:p>
    <w:p w:rsidR="0058782B" w:rsidRPr="00F50B51" w:rsidRDefault="00F80EE7">
      <w:pPr>
        <w:pStyle w:val="a7"/>
        <w:spacing w:line="560" w:lineRule="atLeast"/>
        <w:ind w:firstLine="480"/>
        <w:rPr>
          <w:b/>
          <w:bCs/>
          <w:sz w:val="28"/>
          <w:szCs w:val="28"/>
        </w:rPr>
      </w:pPr>
      <w:r w:rsidRPr="00F50B51">
        <w:rPr>
          <w:rFonts w:hint="eastAsia"/>
          <w:b/>
          <w:bCs/>
          <w:sz w:val="28"/>
          <w:szCs w:val="28"/>
        </w:rPr>
        <w:t>公司主营业务为钨制品的开发、生产与销售，主要原料为钨精矿。公司生产所需的钨精矿通过外购获得，公司产品的销售价格根据钨精矿价格变动情况相应调整，从而降低了原材料价格波动对公司经营业绩的影响，但如果未来钨精矿价格发生剧烈变化而钨制品价格未能同步变动，将会对公司主要产品的毛利率水平及经营业绩产生影响。此外，公司向多家供应商外购钨精矿，不存在依赖某一或少数供应商的情形，但由于该等原料采购合同多为按批采购，合同采购期限一般不超过</w:t>
      </w:r>
      <w:r w:rsidRPr="00F50B51">
        <w:rPr>
          <w:rFonts w:hint="eastAsia"/>
          <w:b/>
          <w:bCs/>
          <w:sz w:val="28"/>
          <w:szCs w:val="28"/>
        </w:rPr>
        <w:t>1</w:t>
      </w:r>
      <w:r w:rsidRPr="00F50B51">
        <w:rPr>
          <w:rFonts w:hint="eastAsia"/>
          <w:b/>
          <w:bCs/>
          <w:sz w:val="28"/>
          <w:szCs w:val="28"/>
        </w:rPr>
        <w:t>年，如果未来市场对钨精矿的需求发生</w:t>
      </w:r>
      <w:r w:rsidRPr="00F50B51">
        <w:rPr>
          <w:rFonts w:hint="eastAsia"/>
          <w:b/>
          <w:bCs/>
          <w:sz w:val="28"/>
          <w:szCs w:val="28"/>
        </w:rPr>
        <w:lastRenderedPageBreak/>
        <w:t>爆发式增长，或国家突然压缩钨精矿开采配额，公司存在不能</w:t>
      </w:r>
      <w:r w:rsidRPr="00F50B51">
        <w:rPr>
          <w:rFonts w:hint="eastAsia"/>
          <w:b/>
          <w:bCs/>
          <w:sz w:val="28"/>
          <w:szCs w:val="28"/>
        </w:rPr>
        <w:t>在合理价格范围内确保外购原材料稳定供应的风险。</w:t>
      </w:r>
    </w:p>
    <w:p w:rsidR="0058782B" w:rsidRPr="00F50B51" w:rsidRDefault="00F80EE7">
      <w:pPr>
        <w:pStyle w:val="a7"/>
        <w:spacing w:line="560" w:lineRule="atLeast"/>
        <w:ind w:firstLine="480"/>
        <w:rPr>
          <w:b/>
          <w:bCs/>
          <w:sz w:val="28"/>
          <w:szCs w:val="28"/>
        </w:rPr>
      </w:pPr>
      <w:r w:rsidRPr="00F50B51">
        <w:rPr>
          <w:rFonts w:hint="eastAsia"/>
          <w:b/>
          <w:bCs/>
          <w:sz w:val="28"/>
          <w:szCs w:val="28"/>
        </w:rPr>
        <w:t>3</w:t>
      </w:r>
      <w:r w:rsidRPr="00F50B51">
        <w:rPr>
          <w:rFonts w:hint="eastAsia"/>
          <w:b/>
          <w:bCs/>
          <w:sz w:val="28"/>
          <w:szCs w:val="28"/>
        </w:rPr>
        <w:t>、出口贸易资格风险</w:t>
      </w:r>
    </w:p>
    <w:p w:rsidR="0058782B" w:rsidRPr="00F50B51" w:rsidRDefault="00F80EE7">
      <w:pPr>
        <w:pStyle w:val="a7"/>
        <w:spacing w:line="560" w:lineRule="atLeast"/>
        <w:ind w:firstLine="480"/>
        <w:rPr>
          <w:b/>
          <w:bCs/>
          <w:sz w:val="28"/>
          <w:szCs w:val="28"/>
        </w:rPr>
      </w:pPr>
      <w:r w:rsidRPr="00F50B51">
        <w:rPr>
          <w:rFonts w:hint="eastAsia"/>
          <w:b/>
          <w:bCs/>
          <w:sz w:val="28"/>
          <w:szCs w:val="28"/>
        </w:rPr>
        <w:t>我国属钨资源大国和钨消费大国，目前我国钨制品的产量、出口量和消费量均位居世界第一位。但由于钨是一种不可再生资源，国家对钨行业的各个环节（开采、冶炼、经营、出口等）均采取了较为严格的管理。商务部对钨品直接出口企业资格制定非常严格的标准。公司是</w:t>
      </w:r>
      <w:r w:rsidRPr="00F50B51">
        <w:rPr>
          <w:rFonts w:hint="eastAsia"/>
          <w:b/>
          <w:bCs/>
          <w:sz w:val="28"/>
          <w:szCs w:val="28"/>
        </w:rPr>
        <w:t>16</w:t>
      </w:r>
      <w:r w:rsidRPr="00F50B51">
        <w:rPr>
          <w:rFonts w:hint="eastAsia"/>
          <w:b/>
          <w:bCs/>
          <w:sz w:val="28"/>
          <w:szCs w:val="28"/>
        </w:rPr>
        <w:t>家获得钨品直接出口资格的企业之一。目前公司部分产品销往国外，如果国家对出口企业资格标准进行大幅调整，则可能使公司出口业务受到影响，从而影响公司的经营业绩。</w:t>
      </w:r>
    </w:p>
    <w:p w:rsidR="0058782B" w:rsidRPr="00F50B51" w:rsidRDefault="00F80EE7">
      <w:pPr>
        <w:pStyle w:val="a7"/>
        <w:spacing w:line="560" w:lineRule="atLeast"/>
        <w:ind w:firstLine="480"/>
        <w:rPr>
          <w:b/>
          <w:bCs/>
          <w:sz w:val="28"/>
          <w:szCs w:val="28"/>
        </w:rPr>
      </w:pPr>
      <w:r w:rsidRPr="00F50B51">
        <w:rPr>
          <w:rFonts w:hint="eastAsia"/>
          <w:b/>
          <w:bCs/>
          <w:sz w:val="28"/>
          <w:szCs w:val="28"/>
        </w:rPr>
        <w:t>4</w:t>
      </w:r>
      <w:r w:rsidRPr="00F50B51">
        <w:rPr>
          <w:rFonts w:hint="eastAsia"/>
          <w:b/>
          <w:bCs/>
          <w:sz w:val="28"/>
          <w:szCs w:val="28"/>
        </w:rPr>
        <w:t>、汇率波动风险</w:t>
      </w:r>
      <w:r w:rsidRPr="00F50B51">
        <w:rPr>
          <w:rFonts w:hint="eastAsia"/>
          <w:b/>
          <w:bCs/>
          <w:sz w:val="28"/>
          <w:szCs w:val="28"/>
        </w:rPr>
        <w:t xml:space="preserve"> </w:t>
      </w:r>
    </w:p>
    <w:p w:rsidR="0058782B" w:rsidRPr="00F50B51" w:rsidRDefault="00F80EE7">
      <w:pPr>
        <w:pStyle w:val="a7"/>
        <w:spacing w:line="560" w:lineRule="atLeast"/>
        <w:ind w:firstLine="480"/>
        <w:rPr>
          <w:b/>
          <w:bCs/>
          <w:sz w:val="28"/>
          <w:szCs w:val="28"/>
        </w:rPr>
      </w:pPr>
      <w:r w:rsidRPr="00F50B51">
        <w:rPr>
          <w:rFonts w:hint="eastAsia"/>
          <w:b/>
          <w:bCs/>
          <w:sz w:val="28"/>
          <w:szCs w:val="28"/>
        </w:rPr>
        <w:t>由于公司出口量占一定比例，汇率变动将对公司的经营业绩产生一定的影响。</w:t>
      </w:r>
    </w:p>
    <w:p w:rsidR="0058782B" w:rsidRPr="00F50B51" w:rsidRDefault="00F80EE7">
      <w:pPr>
        <w:pStyle w:val="a7"/>
        <w:spacing w:line="560" w:lineRule="atLeast"/>
        <w:ind w:firstLine="480"/>
        <w:rPr>
          <w:b/>
          <w:bCs/>
          <w:sz w:val="28"/>
          <w:szCs w:val="28"/>
        </w:rPr>
      </w:pPr>
      <w:r w:rsidRPr="00F50B51">
        <w:rPr>
          <w:rFonts w:hint="eastAsia"/>
          <w:b/>
          <w:bCs/>
          <w:sz w:val="28"/>
          <w:szCs w:val="28"/>
        </w:rPr>
        <w:t>5</w:t>
      </w:r>
      <w:r w:rsidRPr="00F50B51">
        <w:rPr>
          <w:rFonts w:hint="eastAsia"/>
          <w:b/>
          <w:bCs/>
          <w:sz w:val="28"/>
          <w:szCs w:val="28"/>
        </w:rPr>
        <w:t>、新冠肺炎疫情风险</w:t>
      </w:r>
      <w:r w:rsidRPr="00F50B51">
        <w:rPr>
          <w:rFonts w:hint="eastAsia"/>
          <w:b/>
          <w:bCs/>
          <w:sz w:val="28"/>
          <w:szCs w:val="28"/>
        </w:rPr>
        <w:t xml:space="preserve"> </w:t>
      </w:r>
    </w:p>
    <w:p w:rsidR="0058782B" w:rsidRPr="00F50B51" w:rsidRDefault="00F80EE7">
      <w:pPr>
        <w:pStyle w:val="a7"/>
        <w:spacing w:line="560" w:lineRule="atLeast"/>
        <w:ind w:firstLine="480"/>
        <w:rPr>
          <w:b/>
          <w:bCs/>
          <w:sz w:val="28"/>
          <w:szCs w:val="28"/>
        </w:rPr>
      </w:pPr>
      <w:r w:rsidRPr="00F50B51">
        <w:rPr>
          <w:rFonts w:hint="eastAsia"/>
          <w:b/>
          <w:bCs/>
          <w:sz w:val="28"/>
          <w:szCs w:val="28"/>
        </w:rPr>
        <w:t>目前全球疫情反复，全球经济形势的不确定性与波动性加大部分国家和地区的疫情尚未得到有效控制，将有可能对公司业绩造成一定的影响。</w:t>
      </w:r>
    </w:p>
    <w:p w:rsidR="0058782B" w:rsidRPr="00F50B51" w:rsidRDefault="00F80EE7" w:rsidP="00F50B51">
      <w:pPr>
        <w:spacing w:line="560" w:lineRule="exact"/>
        <w:ind w:firstLineChars="200" w:firstLine="562"/>
        <w:rPr>
          <w:rFonts w:ascii="宋体" w:eastAsia="宋体" w:hAnsi="宋体" w:cs="宋体"/>
          <w:b/>
          <w:bCs/>
          <w:sz w:val="28"/>
          <w:szCs w:val="28"/>
        </w:rPr>
      </w:pPr>
      <w:r w:rsidRPr="00F50B51">
        <w:rPr>
          <w:rFonts w:ascii="宋体" w:eastAsia="宋体" w:hAnsi="宋体" w:cs="宋体"/>
          <w:b/>
          <w:bCs/>
          <w:sz w:val="28"/>
          <w:szCs w:val="28"/>
        </w:rPr>
        <w:t>公司计划不派发现金红利，不送红股，不以公积金转增股本。</w:t>
      </w:r>
    </w:p>
    <w:p w:rsidR="0058782B" w:rsidRPr="00F50B51" w:rsidRDefault="00F80EE7">
      <w:r w:rsidRPr="00F50B51">
        <w:br w:type="page"/>
      </w:r>
    </w:p>
    <w:p w:rsidR="0058782B" w:rsidRPr="00F50B51" w:rsidRDefault="00F80EE7">
      <w:pPr>
        <w:spacing w:line="720" w:lineRule="exact"/>
        <w:jc w:val="center"/>
        <w:rPr>
          <w:rFonts w:ascii="宋体" w:eastAsia="宋体" w:hAnsi="宋体" w:cs="宋体"/>
          <w:b/>
          <w:bCs/>
          <w:sz w:val="36"/>
          <w:szCs w:val="36"/>
        </w:rPr>
      </w:pPr>
      <w:r w:rsidRPr="00F50B51">
        <w:rPr>
          <w:rFonts w:ascii="宋体" w:eastAsia="宋体" w:hAnsi="宋体" w:cs="宋体"/>
          <w:b/>
          <w:bCs/>
          <w:sz w:val="36"/>
          <w:szCs w:val="36"/>
        </w:rPr>
        <w:lastRenderedPageBreak/>
        <w:t>目录</w:t>
      </w:r>
    </w:p>
    <w:p w:rsidR="0058782B" w:rsidRPr="00F50B51" w:rsidRDefault="0058782B">
      <w:pPr>
        <w:pStyle w:val="1"/>
        <w:tabs>
          <w:tab w:val="left" w:leader="dot" w:pos="9469"/>
        </w:tabs>
      </w:pPr>
      <w:r w:rsidRPr="00F50B51">
        <w:fldChar w:fldCharType="begin"/>
      </w:r>
      <w:r w:rsidR="00F80EE7" w:rsidRPr="00F50B51">
        <w:rPr>
          <w:rFonts w:ascii="宋体" w:eastAsia="宋体" w:hAnsi="宋体" w:hint="eastAsia"/>
        </w:rPr>
        <w:instrText>TOC \o "1-2" \h \z \u</w:instrText>
      </w:r>
      <w:r w:rsidRPr="00F50B51">
        <w:fldChar w:fldCharType="separate"/>
      </w:r>
      <w:hyperlink w:anchor="_Toc988889" w:history="1">
        <w:r w:rsidR="00F80EE7" w:rsidRPr="00F50B51">
          <w:rPr>
            <w:rFonts w:ascii="宋体" w:eastAsia="宋体" w:hAnsi="宋体" w:hint="eastAsia"/>
            <w:b/>
            <w:bCs/>
            <w:sz w:val="24"/>
          </w:rPr>
          <w:t>第一节</w:t>
        </w:r>
        <w:r w:rsidR="00F80EE7" w:rsidRPr="00F50B51">
          <w:rPr>
            <w:rFonts w:ascii="宋体" w:eastAsia="宋体" w:hAnsi="宋体" w:hint="eastAsia"/>
            <w:b/>
            <w:bCs/>
            <w:sz w:val="24"/>
          </w:rPr>
          <w:t xml:space="preserve"> </w:t>
        </w:r>
        <w:r w:rsidR="00F80EE7" w:rsidRPr="00F50B51">
          <w:rPr>
            <w:rFonts w:ascii="宋体" w:eastAsia="宋体" w:hAnsi="宋体" w:hint="eastAsia"/>
            <w:b/>
            <w:bCs/>
            <w:sz w:val="24"/>
          </w:rPr>
          <w:t>重要提示、目录和释义</w:t>
        </w:r>
        <w:r w:rsidR="00F80EE7" w:rsidRPr="00F50B51">
          <w:tab/>
        </w:r>
        <w:r w:rsidRPr="00F50B51">
          <w:fldChar w:fldCharType="begin"/>
        </w:r>
        <w:r w:rsidR="00F80EE7" w:rsidRPr="00F50B51">
          <w:instrText xml:space="preserve"> PAGEREF _Toc988889 \h </w:instrText>
        </w:r>
        <w:r w:rsidRPr="00F50B51">
          <w:fldChar w:fldCharType="separate"/>
        </w:r>
        <w:r w:rsidR="00F80EE7" w:rsidRPr="00F50B51">
          <w:rPr>
            <w:rFonts w:ascii="宋体" w:eastAsia="宋体" w:hAnsi="宋体" w:hint="eastAsia"/>
            <w:b/>
            <w:bCs/>
            <w:sz w:val="24"/>
          </w:rPr>
          <w:t>3</w:t>
        </w:r>
        <w:r w:rsidRPr="00F50B51">
          <w:fldChar w:fldCharType="end"/>
        </w:r>
      </w:hyperlink>
    </w:p>
    <w:p w:rsidR="0058782B" w:rsidRPr="00F50B51" w:rsidRDefault="0058782B">
      <w:pPr>
        <w:pStyle w:val="1"/>
        <w:tabs>
          <w:tab w:val="left" w:leader="dot" w:pos="9469"/>
        </w:tabs>
      </w:pPr>
      <w:hyperlink w:anchor="_Toc988890" w:history="1">
        <w:r w:rsidR="00F80EE7" w:rsidRPr="00F50B51">
          <w:rPr>
            <w:rFonts w:ascii="宋体" w:eastAsia="宋体" w:hAnsi="宋体" w:hint="eastAsia"/>
            <w:b/>
            <w:bCs/>
            <w:sz w:val="24"/>
          </w:rPr>
          <w:t>第二节</w:t>
        </w:r>
        <w:r w:rsidR="00F80EE7" w:rsidRPr="00F50B51">
          <w:rPr>
            <w:rFonts w:ascii="宋体" w:eastAsia="宋体" w:hAnsi="宋体" w:hint="eastAsia"/>
            <w:b/>
            <w:bCs/>
            <w:sz w:val="24"/>
          </w:rPr>
          <w:t xml:space="preserve"> </w:t>
        </w:r>
        <w:r w:rsidR="00F80EE7" w:rsidRPr="00F50B51">
          <w:rPr>
            <w:rFonts w:ascii="宋体" w:eastAsia="宋体" w:hAnsi="宋体" w:hint="eastAsia"/>
            <w:b/>
            <w:bCs/>
            <w:sz w:val="24"/>
          </w:rPr>
          <w:t>公司简介和主要财务指标</w:t>
        </w:r>
        <w:r w:rsidR="00F80EE7" w:rsidRPr="00F50B51">
          <w:tab/>
        </w:r>
        <w:r w:rsidRPr="00F50B51">
          <w:fldChar w:fldCharType="begin"/>
        </w:r>
        <w:r w:rsidR="00F80EE7" w:rsidRPr="00F50B51">
          <w:instrText xml:space="preserve"> PAGEREF _Toc988890 \h </w:instrText>
        </w:r>
        <w:r w:rsidRPr="00F50B51">
          <w:fldChar w:fldCharType="separate"/>
        </w:r>
        <w:r w:rsidR="00F80EE7" w:rsidRPr="00F50B51">
          <w:rPr>
            <w:rFonts w:ascii="宋体" w:eastAsia="宋体" w:hAnsi="宋体" w:hint="eastAsia"/>
            <w:b/>
            <w:bCs/>
            <w:sz w:val="24"/>
          </w:rPr>
          <w:t>4</w:t>
        </w:r>
        <w:r w:rsidRPr="00F50B51">
          <w:fldChar w:fldCharType="end"/>
        </w:r>
      </w:hyperlink>
    </w:p>
    <w:p w:rsidR="0058782B" w:rsidRPr="00F50B51" w:rsidRDefault="0058782B">
      <w:pPr>
        <w:pStyle w:val="1"/>
        <w:tabs>
          <w:tab w:val="left" w:leader="dot" w:pos="9469"/>
        </w:tabs>
      </w:pPr>
      <w:hyperlink w:anchor="_Toc988902" w:history="1">
        <w:r w:rsidR="00F80EE7" w:rsidRPr="00F50B51">
          <w:rPr>
            <w:rFonts w:ascii="宋体" w:eastAsia="宋体" w:hAnsi="宋体" w:hint="eastAsia"/>
            <w:b/>
            <w:bCs/>
            <w:sz w:val="24"/>
          </w:rPr>
          <w:t>第三节</w:t>
        </w:r>
        <w:r w:rsidR="00F80EE7" w:rsidRPr="00F50B51">
          <w:rPr>
            <w:rFonts w:ascii="宋体" w:eastAsia="宋体" w:hAnsi="宋体" w:hint="eastAsia"/>
            <w:b/>
            <w:bCs/>
            <w:sz w:val="24"/>
          </w:rPr>
          <w:t xml:space="preserve"> </w:t>
        </w:r>
        <w:r w:rsidR="00F80EE7" w:rsidRPr="00F50B51">
          <w:rPr>
            <w:rFonts w:ascii="宋体" w:eastAsia="宋体" w:hAnsi="宋体" w:hint="eastAsia"/>
            <w:b/>
            <w:bCs/>
            <w:sz w:val="24"/>
          </w:rPr>
          <w:t>管理层讨论与分析</w:t>
        </w:r>
        <w:r w:rsidR="00F80EE7" w:rsidRPr="00F50B51">
          <w:tab/>
        </w:r>
        <w:r w:rsidRPr="00F50B51">
          <w:fldChar w:fldCharType="begin"/>
        </w:r>
        <w:r w:rsidR="00F80EE7" w:rsidRPr="00F50B51">
          <w:instrText xml:space="preserve"> PAGEREF _Toc988902 \h </w:instrText>
        </w:r>
        <w:r w:rsidRPr="00F50B51">
          <w:fldChar w:fldCharType="separate"/>
        </w:r>
        <w:r w:rsidR="00F80EE7" w:rsidRPr="00F50B51">
          <w:rPr>
            <w:rFonts w:ascii="宋体" w:eastAsia="宋体" w:hAnsi="宋体" w:hint="eastAsia"/>
            <w:b/>
            <w:bCs/>
            <w:sz w:val="24"/>
          </w:rPr>
          <w:t>6</w:t>
        </w:r>
        <w:r w:rsidRPr="00F50B51">
          <w:fldChar w:fldCharType="end"/>
        </w:r>
      </w:hyperlink>
    </w:p>
    <w:p w:rsidR="0058782B" w:rsidRPr="00F50B51" w:rsidRDefault="0058782B">
      <w:pPr>
        <w:pStyle w:val="1"/>
        <w:tabs>
          <w:tab w:val="left" w:leader="dot" w:pos="9469"/>
        </w:tabs>
      </w:pPr>
      <w:hyperlink w:anchor="_Toc988929" w:history="1">
        <w:r w:rsidR="00F80EE7" w:rsidRPr="00F50B51">
          <w:rPr>
            <w:rFonts w:ascii="宋体" w:eastAsia="宋体" w:hAnsi="宋体" w:hint="eastAsia"/>
            <w:b/>
            <w:bCs/>
            <w:sz w:val="24"/>
          </w:rPr>
          <w:t>第四节</w:t>
        </w:r>
        <w:r w:rsidR="00F80EE7" w:rsidRPr="00F50B51">
          <w:rPr>
            <w:rFonts w:ascii="宋体" w:eastAsia="宋体" w:hAnsi="宋体" w:hint="eastAsia"/>
            <w:b/>
            <w:bCs/>
            <w:sz w:val="24"/>
          </w:rPr>
          <w:t xml:space="preserve"> </w:t>
        </w:r>
        <w:r w:rsidR="00F80EE7" w:rsidRPr="00F50B51">
          <w:rPr>
            <w:rFonts w:ascii="宋体" w:eastAsia="宋体" w:hAnsi="宋体" w:hint="eastAsia"/>
            <w:b/>
            <w:bCs/>
            <w:sz w:val="24"/>
          </w:rPr>
          <w:t>公司治理</w:t>
        </w:r>
        <w:r w:rsidR="00F80EE7" w:rsidRPr="00F50B51">
          <w:tab/>
        </w:r>
        <w:r w:rsidRPr="00F50B51">
          <w:fldChar w:fldCharType="begin"/>
        </w:r>
        <w:r w:rsidR="00F80EE7" w:rsidRPr="00F50B51">
          <w:instrText xml:space="preserve"> PAGEREF _Toc988929 \h </w:instrText>
        </w:r>
        <w:r w:rsidRPr="00F50B51">
          <w:fldChar w:fldCharType="separate"/>
        </w:r>
        <w:r w:rsidR="00F80EE7" w:rsidRPr="00F50B51">
          <w:rPr>
            <w:rFonts w:ascii="宋体" w:eastAsia="宋体" w:hAnsi="宋体" w:hint="eastAsia"/>
            <w:b/>
            <w:bCs/>
            <w:sz w:val="24"/>
          </w:rPr>
          <w:t>7</w:t>
        </w:r>
        <w:r w:rsidRPr="00F50B51">
          <w:fldChar w:fldCharType="end"/>
        </w:r>
      </w:hyperlink>
    </w:p>
    <w:p w:rsidR="0058782B" w:rsidRPr="00F50B51" w:rsidRDefault="0058782B">
      <w:pPr>
        <w:pStyle w:val="1"/>
        <w:tabs>
          <w:tab w:val="left" w:leader="dot" w:pos="9469"/>
        </w:tabs>
      </w:pPr>
      <w:hyperlink w:anchor="_Toc988939" w:history="1">
        <w:r w:rsidR="00F80EE7" w:rsidRPr="00F50B51">
          <w:rPr>
            <w:rFonts w:ascii="宋体" w:eastAsia="宋体" w:hAnsi="宋体" w:hint="eastAsia"/>
            <w:b/>
            <w:bCs/>
            <w:sz w:val="24"/>
          </w:rPr>
          <w:t>第五节</w:t>
        </w:r>
        <w:r w:rsidR="00F80EE7" w:rsidRPr="00F50B51">
          <w:rPr>
            <w:rFonts w:ascii="宋体" w:eastAsia="宋体" w:hAnsi="宋体" w:hint="eastAsia"/>
            <w:b/>
            <w:bCs/>
            <w:sz w:val="24"/>
          </w:rPr>
          <w:t xml:space="preserve"> </w:t>
        </w:r>
        <w:r w:rsidR="00F80EE7" w:rsidRPr="00F50B51">
          <w:rPr>
            <w:rFonts w:ascii="宋体" w:eastAsia="宋体" w:hAnsi="宋体" w:hint="eastAsia"/>
            <w:b/>
            <w:bCs/>
            <w:sz w:val="24"/>
          </w:rPr>
          <w:t>环境和社会责任</w:t>
        </w:r>
        <w:r w:rsidR="00F80EE7" w:rsidRPr="00F50B51">
          <w:tab/>
        </w:r>
        <w:r w:rsidRPr="00F50B51">
          <w:fldChar w:fldCharType="begin"/>
        </w:r>
        <w:r w:rsidR="00F80EE7" w:rsidRPr="00F50B51">
          <w:instrText xml:space="preserve"> PAGEREF _Toc988939 \h </w:instrText>
        </w:r>
        <w:r w:rsidRPr="00F50B51">
          <w:fldChar w:fldCharType="separate"/>
        </w:r>
        <w:r w:rsidR="00F80EE7" w:rsidRPr="00F50B51">
          <w:rPr>
            <w:rFonts w:ascii="宋体" w:eastAsia="宋体" w:hAnsi="宋体" w:hint="eastAsia"/>
            <w:b/>
            <w:bCs/>
            <w:sz w:val="24"/>
          </w:rPr>
          <w:t>9</w:t>
        </w:r>
        <w:r w:rsidRPr="00F50B51">
          <w:fldChar w:fldCharType="end"/>
        </w:r>
      </w:hyperlink>
    </w:p>
    <w:p w:rsidR="0058782B" w:rsidRPr="00F50B51" w:rsidRDefault="0058782B">
      <w:pPr>
        <w:pStyle w:val="1"/>
        <w:tabs>
          <w:tab w:val="left" w:leader="dot" w:pos="9469"/>
        </w:tabs>
      </w:pPr>
      <w:hyperlink w:anchor="_Toc988942" w:history="1">
        <w:r w:rsidR="00F80EE7" w:rsidRPr="00F50B51">
          <w:rPr>
            <w:rFonts w:ascii="宋体" w:eastAsia="宋体" w:hAnsi="宋体" w:hint="eastAsia"/>
            <w:b/>
            <w:bCs/>
            <w:sz w:val="24"/>
          </w:rPr>
          <w:t>第六节</w:t>
        </w:r>
        <w:r w:rsidR="00F80EE7" w:rsidRPr="00F50B51">
          <w:rPr>
            <w:rFonts w:ascii="宋体" w:eastAsia="宋体" w:hAnsi="宋体" w:hint="eastAsia"/>
            <w:b/>
            <w:bCs/>
            <w:sz w:val="24"/>
          </w:rPr>
          <w:t xml:space="preserve"> </w:t>
        </w:r>
        <w:r w:rsidR="00F80EE7" w:rsidRPr="00F50B51">
          <w:rPr>
            <w:rFonts w:ascii="宋体" w:eastAsia="宋体" w:hAnsi="宋体" w:hint="eastAsia"/>
            <w:b/>
            <w:bCs/>
            <w:sz w:val="24"/>
          </w:rPr>
          <w:t>重要事项</w:t>
        </w:r>
        <w:r w:rsidR="00F80EE7" w:rsidRPr="00F50B51">
          <w:tab/>
        </w:r>
        <w:r w:rsidRPr="00F50B51">
          <w:fldChar w:fldCharType="begin"/>
        </w:r>
        <w:r w:rsidR="00F80EE7" w:rsidRPr="00F50B51">
          <w:instrText xml:space="preserve"> PAGEREF _Toc988942 \h </w:instrText>
        </w:r>
        <w:r w:rsidRPr="00F50B51">
          <w:fldChar w:fldCharType="separate"/>
        </w:r>
        <w:r w:rsidR="00F80EE7" w:rsidRPr="00F50B51">
          <w:rPr>
            <w:rFonts w:ascii="宋体" w:eastAsia="宋体" w:hAnsi="宋体" w:hint="eastAsia"/>
            <w:b/>
            <w:bCs/>
            <w:sz w:val="24"/>
          </w:rPr>
          <w:t>10</w:t>
        </w:r>
        <w:r w:rsidRPr="00F50B51">
          <w:fldChar w:fldCharType="end"/>
        </w:r>
      </w:hyperlink>
    </w:p>
    <w:p w:rsidR="0058782B" w:rsidRPr="00F50B51" w:rsidRDefault="0058782B">
      <w:pPr>
        <w:pStyle w:val="1"/>
        <w:tabs>
          <w:tab w:val="left" w:leader="dot" w:pos="9469"/>
        </w:tabs>
      </w:pPr>
      <w:hyperlink w:anchor="_Toc988971" w:history="1">
        <w:r w:rsidR="00F80EE7" w:rsidRPr="00F50B51">
          <w:rPr>
            <w:rFonts w:ascii="宋体" w:eastAsia="宋体" w:hAnsi="宋体" w:hint="eastAsia"/>
            <w:b/>
            <w:bCs/>
            <w:sz w:val="24"/>
          </w:rPr>
          <w:t>第七节</w:t>
        </w:r>
        <w:r w:rsidR="00F80EE7" w:rsidRPr="00F50B51">
          <w:rPr>
            <w:rFonts w:ascii="宋体" w:eastAsia="宋体" w:hAnsi="宋体" w:hint="eastAsia"/>
            <w:b/>
            <w:bCs/>
            <w:sz w:val="24"/>
          </w:rPr>
          <w:t xml:space="preserve"> </w:t>
        </w:r>
        <w:r w:rsidR="00F80EE7" w:rsidRPr="00F50B51">
          <w:rPr>
            <w:rFonts w:ascii="宋体" w:eastAsia="宋体" w:hAnsi="宋体" w:hint="eastAsia"/>
            <w:b/>
            <w:bCs/>
            <w:sz w:val="24"/>
          </w:rPr>
          <w:t>股份变动及股东情况</w:t>
        </w:r>
        <w:r w:rsidR="00F80EE7" w:rsidRPr="00F50B51">
          <w:tab/>
        </w:r>
        <w:r w:rsidRPr="00F50B51">
          <w:fldChar w:fldCharType="begin"/>
        </w:r>
        <w:r w:rsidR="00F80EE7" w:rsidRPr="00F50B51">
          <w:instrText xml:space="preserve"> PAGEREF _Toc988971 \h </w:instrText>
        </w:r>
        <w:r w:rsidRPr="00F50B51">
          <w:fldChar w:fldCharType="separate"/>
        </w:r>
        <w:r w:rsidR="00F80EE7" w:rsidRPr="00F50B51">
          <w:rPr>
            <w:rFonts w:ascii="宋体" w:eastAsia="宋体" w:hAnsi="宋体" w:hint="eastAsia"/>
            <w:b/>
            <w:bCs/>
            <w:sz w:val="24"/>
          </w:rPr>
          <w:t>12</w:t>
        </w:r>
        <w:r w:rsidRPr="00F50B51">
          <w:fldChar w:fldCharType="end"/>
        </w:r>
      </w:hyperlink>
    </w:p>
    <w:p w:rsidR="0058782B" w:rsidRPr="00F50B51" w:rsidRDefault="0058782B">
      <w:pPr>
        <w:pStyle w:val="1"/>
        <w:tabs>
          <w:tab w:val="left" w:leader="dot" w:pos="9469"/>
        </w:tabs>
      </w:pPr>
      <w:hyperlink w:anchor="_Toc988979" w:history="1">
        <w:r w:rsidR="00F80EE7" w:rsidRPr="00F50B51">
          <w:rPr>
            <w:rFonts w:ascii="宋体" w:eastAsia="宋体" w:hAnsi="宋体" w:hint="eastAsia"/>
            <w:b/>
            <w:bCs/>
            <w:sz w:val="24"/>
          </w:rPr>
          <w:t>第八节</w:t>
        </w:r>
        <w:r w:rsidR="00F80EE7" w:rsidRPr="00F50B51">
          <w:rPr>
            <w:rFonts w:ascii="宋体" w:eastAsia="宋体" w:hAnsi="宋体" w:hint="eastAsia"/>
            <w:b/>
            <w:bCs/>
            <w:sz w:val="24"/>
          </w:rPr>
          <w:t xml:space="preserve"> </w:t>
        </w:r>
        <w:r w:rsidR="00F80EE7" w:rsidRPr="00F50B51">
          <w:rPr>
            <w:rFonts w:ascii="宋体" w:eastAsia="宋体" w:hAnsi="宋体" w:hint="eastAsia"/>
            <w:b/>
            <w:bCs/>
            <w:sz w:val="24"/>
          </w:rPr>
          <w:t>优先股相关情况</w:t>
        </w:r>
        <w:r w:rsidR="00F80EE7" w:rsidRPr="00F50B51">
          <w:tab/>
        </w:r>
        <w:r w:rsidRPr="00F50B51">
          <w:fldChar w:fldCharType="begin"/>
        </w:r>
        <w:r w:rsidR="00F80EE7" w:rsidRPr="00F50B51">
          <w:instrText xml:space="preserve"> PAGEREF _Toc9889</w:instrText>
        </w:r>
        <w:r w:rsidR="00F80EE7" w:rsidRPr="00F50B51">
          <w:instrText xml:space="preserve">79 \h </w:instrText>
        </w:r>
        <w:r w:rsidRPr="00F50B51">
          <w:fldChar w:fldCharType="separate"/>
        </w:r>
        <w:r w:rsidR="00F80EE7" w:rsidRPr="00F50B51">
          <w:rPr>
            <w:rFonts w:ascii="宋体" w:eastAsia="宋体" w:hAnsi="宋体" w:hint="eastAsia"/>
            <w:b/>
            <w:bCs/>
            <w:sz w:val="24"/>
          </w:rPr>
          <w:t>13</w:t>
        </w:r>
        <w:r w:rsidRPr="00F50B51">
          <w:fldChar w:fldCharType="end"/>
        </w:r>
      </w:hyperlink>
    </w:p>
    <w:p w:rsidR="0058782B" w:rsidRPr="00F50B51" w:rsidRDefault="0058782B">
      <w:pPr>
        <w:pStyle w:val="1"/>
        <w:tabs>
          <w:tab w:val="left" w:leader="dot" w:pos="9469"/>
        </w:tabs>
      </w:pPr>
      <w:hyperlink w:anchor="_Toc988980" w:history="1">
        <w:r w:rsidR="00F80EE7" w:rsidRPr="00F50B51">
          <w:rPr>
            <w:rFonts w:ascii="宋体" w:eastAsia="宋体" w:hAnsi="宋体" w:hint="eastAsia"/>
            <w:b/>
            <w:bCs/>
            <w:sz w:val="24"/>
          </w:rPr>
          <w:t>第九节</w:t>
        </w:r>
        <w:r w:rsidR="00F80EE7" w:rsidRPr="00F50B51">
          <w:rPr>
            <w:rFonts w:ascii="宋体" w:eastAsia="宋体" w:hAnsi="宋体" w:hint="eastAsia"/>
            <w:b/>
            <w:bCs/>
            <w:sz w:val="24"/>
          </w:rPr>
          <w:t xml:space="preserve"> </w:t>
        </w:r>
        <w:r w:rsidR="00F80EE7" w:rsidRPr="00F50B51">
          <w:rPr>
            <w:rFonts w:ascii="宋体" w:eastAsia="宋体" w:hAnsi="宋体" w:hint="eastAsia"/>
            <w:b/>
            <w:bCs/>
            <w:sz w:val="24"/>
          </w:rPr>
          <w:t>债券相关情况</w:t>
        </w:r>
        <w:r w:rsidR="00F80EE7" w:rsidRPr="00F50B51">
          <w:tab/>
        </w:r>
        <w:r w:rsidRPr="00F50B51">
          <w:fldChar w:fldCharType="begin"/>
        </w:r>
        <w:r w:rsidR="00F80EE7" w:rsidRPr="00F50B51">
          <w:instrText xml:space="preserve"> PAGEREF _Toc988980 \h </w:instrText>
        </w:r>
        <w:r w:rsidRPr="00F50B51">
          <w:fldChar w:fldCharType="separate"/>
        </w:r>
        <w:r w:rsidR="00F80EE7" w:rsidRPr="00F50B51">
          <w:rPr>
            <w:rFonts w:ascii="宋体" w:eastAsia="宋体" w:hAnsi="宋体" w:hint="eastAsia"/>
            <w:b/>
            <w:bCs/>
            <w:sz w:val="24"/>
          </w:rPr>
          <w:t>15</w:t>
        </w:r>
        <w:r w:rsidRPr="00F50B51">
          <w:fldChar w:fldCharType="end"/>
        </w:r>
      </w:hyperlink>
    </w:p>
    <w:p w:rsidR="0058782B" w:rsidRPr="00F50B51" w:rsidRDefault="0058782B">
      <w:pPr>
        <w:pStyle w:val="1"/>
        <w:tabs>
          <w:tab w:val="left" w:leader="dot" w:pos="9469"/>
        </w:tabs>
      </w:pPr>
      <w:hyperlink w:anchor="_Toc988992" w:history="1">
        <w:r w:rsidR="00F80EE7" w:rsidRPr="00F50B51">
          <w:rPr>
            <w:rFonts w:ascii="宋体" w:eastAsia="宋体" w:hAnsi="宋体" w:hint="eastAsia"/>
            <w:b/>
            <w:bCs/>
            <w:sz w:val="24"/>
          </w:rPr>
          <w:t>第十节</w:t>
        </w:r>
        <w:r w:rsidR="00F80EE7" w:rsidRPr="00F50B51">
          <w:rPr>
            <w:rFonts w:ascii="宋体" w:eastAsia="宋体" w:hAnsi="宋体" w:hint="eastAsia"/>
            <w:b/>
            <w:bCs/>
            <w:sz w:val="24"/>
          </w:rPr>
          <w:t xml:space="preserve"> </w:t>
        </w:r>
        <w:r w:rsidR="00F80EE7" w:rsidRPr="00F50B51">
          <w:rPr>
            <w:rFonts w:ascii="宋体" w:eastAsia="宋体" w:hAnsi="宋体" w:hint="eastAsia"/>
            <w:b/>
            <w:bCs/>
            <w:sz w:val="24"/>
          </w:rPr>
          <w:t>财务报告</w:t>
        </w:r>
        <w:r w:rsidR="00F80EE7" w:rsidRPr="00F50B51">
          <w:tab/>
        </w:r>
        <w:r w:rsidRPr="00F50B51">
          <w:fldChar w:fldCharType="begin"/>
        </w:r>
        <w:r w:rsidR="00F80EE7" w:rsidRPr="00F50B51">
          <w:instrText xml:space="preserve"> PAGEREF _Toc9</w:instrText>
        </w:r>
        <w:r w:rsidR="00F80EE7" w:rsidRPr="00F50B51">
          <w:instrText xml:space="preserve">88992 \h </w:instrText>
        </w:r>
        <w:r w:rsidRPr="00F50B51">
          <w:fldChar w:fldCharType="separate"/>
        </w:r>
        <w:r w:rsidR="00F80EE7" w:rsidRPr="00F50B51">
          <w:rPr>
            <w:rFonts w:ascii="宋体" w:eastAsia="宋体" w:hAnsi="宋体" w:hint="eastAsia"/>
            <w:b/>
            <w:bCs/>
            <w:sz w:val="24"/>
          </w:rPr>
          <w:t>16</w:t>
        </w:r>
        <w:r w:rsidRPr="00F50B51">
          <w:fldChar w:fldCharType="end"/>
        </w:r>
      </w:hyperlink>
      <w:r w:rsidRPr="00F50B51">
        <w:fldChar w:fldCharType="end"/>
      </w:r>
    </w:p>
    <w:p w:rsidR="0058782B" w:rsidRPr="00F50B51" w:rsidRDefault="00F80EE7">
      <w:r w:rsidRPr="00F50B51">
        <w:br w:type="page"/>
      </w:r>
    </w:p>
    <w:p w:rsidR="0058782B" w:rsidRPr="00F50B51" w:rsidRDefault="00F80EE7">
      <w:pPr>
        <w:spacing w:line="640" w:lineRule="exact"/>
        <w:jc w:val="center"/>
        <w:rPr>
          <w:rFonts w:ascii="宋体" w:eastAsia="宋体" w:hAnsi="宋体" w:cs="宋体"/>
          <w:b/>
          <w:bCs/>
          <w:sz w:val="32"/>
          <w:szCs w:val="32"/>
        </w:rPr>
      </w:pPr>
      <w:r w:rsidRPr="00F50B51">
        <w:rPr>
          <w:rFonts w:ascii="宋体" w:eastAsia="宋体" w:hAnsi="宋体" w:cs="宋体"/>
          <w:b/>
          <w:bCs/>
          <w:sz w:val="32"/>
          <w:szCs w:val="32"/>
        </w:rPr>
        <w:lastRenderedPageBreak/>
        <w:t>备查文件目录</w:t>
      </w:r>
    </w:p>
    <w:p w:rsidR="0058782B" w:rsidRPr="00F50B51" w:rsidRDefault="00F80EE7">
      <w:pPr>
        <w:pStyle w:val="a7"/>
        <w:spacing w:line="560" w:lineRule="atLeast"/>
        <w:rPr>
          <w:sz w:val="18"/>
          <w:szCs w:val="18"/>
        </w:rPr>
      </w:pPr>
      <w:r w:rsidRPr="00F50B51">
        <w:rPr>
          <w:rFonts w:hint="eastAsia"/>
          <w:sz w:val="18"/>
          <w:szCs w:val="18"/>
        </w:rPr>
        <w:t>1</w:t>
      </w:r>
      <w:r w:rsidRPr="00F50B51">
        <w:rPr>
          <w:rFonts w:hint="eastAsia"/>
          <w:sz w:val="18"/>
          <w:szCs w:val="18"/>
        </w:rPr>
        <w:t>、载有公司负责人陈启丰先生、主管会计工作负责人郑丽芳女士、会计主管人员陈东洁女士签名并盖章的财务报表。</w:t>
      </w:r>
    </w:p>
    <w:p w:rsidR="0058782B" w:rsidRPr="00F50B51" w:rsidRDefault="00F80EE7">
      <w:pPr>
        <w:pStyle w:val="a7"/>
        <w:spacing w:line="560" w:lineRule="atLeast"/>
        <w:rPr>
          <w:sz w:val="18"/>
          <w:szCs w:val="18"/>
        </w:rPr>
      </w:pPr>
      <w:r w:rsidRPr="00F50B51">
        <w:rPr>
          <w:rFonts w:hint="eastAsia"/>
          <w:sz w:val="18"/>
          <w:szCs w:val="18"/>
        </w:rPr>
        <w:t>2</w:t>
      </w:r>
      <w:r w:rsidRPr="00F50B51">
        <w:rPr>
          <w:rFonts w:hint="eastAsia"/>
          <w:sz w:val="18"/>
          <w:szCs w:val="18"/>
        </w:rPr>
        <w:t>、报告期内在中国证监会指定信息披露媒体《中国证券报》、《</w:t>
      </w:r>
      <w:r w:rsidRPr="00F50B51">
        <w:rPr>
          <w:rFonts w:hint="eastAsia"/>
          <w:sz w:val="18"/>
          <w:szCs w:val="18"/>
        </w:rPr>
        <w:t xml:space="preserve"> </w:t>
      </w:r>
      <w:r w:rsidRPr="00F50B51">
        <w:rPr>
          <w:rFonts w:hint="eastAsia"/>
          <w:sz w:val="18"/>
          <w:szCs w:val="18"/>
        </w:rPr>
        <w:t>上海证券报》、《证券时报》、《证券日报》</w:t>
      </w:r>
      <w:r w:rsidRPr="00F50B51">
        <w:rPr>
          <w:rFonts w:hint="eastAsia"/>
          <w:sz w:val="18"/>
          <w:szCs w:val="18"/>
        </w:rPr>
        <w:t xml:space="preserve"> </w:t>
      </w:r>
      <w:r w:rsidRPr="00F50B51">
        <w:rPr>
          <w:rFonts w:hint="eastAsia"/>
          <w:sz w:val="18"/>
          <w:szCs w:val="18"/>
        </w:rPr>
        <w:t>以及指定网站巨潮资讯网</w:t>
      </w:r>
      <w:r w:rsidRPr="00F50B51">
        <w:rPr>
          <w:rFonts w:hint="eastAsia"/>
          <w:sz w:val="18"/>
          <w:szCs w:val="18"/>
        </w:rPr>
        <w:t>(http://www.cninfo.com.cn)</w:t>
      </w:r>
      <w:r w:rsidRPr="00F50B51">
        <w:rPr>
          <w:rFonts w:hint="eastAsia"/>
          <w:sz w:val="18"/>
          <w:szCs w:val="18"/>
        </w:rPr>
        <w:t>公开披露过的所有公司文件的正本及公告原稿。</w:t>
      </w:r>
    </w:p>
    <w:p w:rsidR="0058782B" w:rsidRPr="00F50B51" w:rsidRDefault="00F80EE7">
      <w:pPr>
        <w:pStyle w:val="a7"/>
        <w:spacing w:line="560" w:lineRule="atLeast"/>
        <w:rPr>
          <w:sz w:val="18"/>
          <w:szCs w:val="18"/>
        </w:rPr>
      </w:pPr>
      <w:r w:rsidRPr="00F50B51">
        <w:rPr>
          <w:rFonts w:hint="eastAsia"/>
          <w:sz w:val="18"/>
          <w:szCs w:val="18"/>
        </w:rPr>
        <w:t>3</w:t>
      </w:r>
      <w:r w:rsidRPr="00F50B51">
        <w:rPr>
          <w:rFonts w:hint="eastAsia"/>
          <w:sz w:val="18"/>
          <w:szCs w:val="18"/>
        </w:rPr>
        <w:t>、以上文件备置地点为公司董事会办公室。</w:t>
      </w:r>
    </w:p>
    <w:p w:rsidR="0058782B" w:rsidRPr="00F50B51" w:rsidRDefault="00F80EE7">
      <w:r w:rsidRPr="00F50B51">
        <w:br w:type="page"/>
      </w:r>
    </w:p>
    <w:p w:rsidR="0058782B" w:rsidRPr="00F50B51" w:rsidRDefault="00F80EE7">
      <w:pPr>
        <w:spacing w:before="40" w:after="40" w:line="640" w:lineRule="exact"/>
        <w:jc w:val="center"/>
        <w:rPr>
          <w:rFonts w:ascii="宋体" w:eastAsia="宋体" w:hAnsi="宋体" w:cs="宋体"/>
          <w:b/>
          <w:bCs/>
          <w:sz w:val="32"/>
          <w:szCs w:val="32"/>
        </w:rPr>
      </w:pPr>
      <w:r w:rsidRPr="00F50B51">
        <w:rPr>
          <w:rFonts w:ascii="宋体" w:eastAsia="宋体" w:hAnsi="宋体" w:cs="宋体"/>
          <w:b/>
          <w:bCs/>
          <w:sz w:val="32"/>
          <w:szCs w:val="32"/>
        </w:rPr>
        <w:lastRenderedPageBreak/>
        <w:t>释义</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释义项</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释义内容</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公司、本公司、股份公司、翔鹭钨业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启龙有限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潮州启龙贸易有限公司</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江西翔鹭、大余隆鑫泰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江西翔鹭钨业有限公司（前身为大余隆鑫泰钨业有限公司）</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中国证监会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中国证券监督管理委员会</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深交所</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深圳证券交易所</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保荐机构、主承销商</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广发证券股份有限公司</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律师</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北京市竞天公诚律师事务所</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会计师</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广东司农会计师事务所（特殊普通合伙）</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报告期、本报告期</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1</w:t>
            </w:r>
            <w:r w:rsidRPr="00F50B51">
              <w:rPr>
                <w:rFonts w:ascii="宋体" w:eastAsia="宋体" w:hAnsi="宋体" w:cs="宋体"/>
                <w:sz w:val="18"/>
                <w:szCs w:val="18"/>
              </w:rPr>
              <w:t>月</w:t>
            </w:r>
            <w:r w:rsidRPr="00F50B51">
              <w:rPr>
                <w:rFonts w:ascii="宋体" w:eastAsia="宋体" w:hAnsi="宋体" w:cs="宋体"/>
                <w:sz w:val="18"/>
                <w:szCs w:val="18"/>
              </w:rPr>
              <w:t>1</w:t>
            </w:r>
            <w:r w:rsidRPr="00F50B51">
              <w:rPr>
                <w:rFonts w:ascii="宋体" w:eastAsia="宋体" w:hAnsi="宋体" w:cs="宋体"/>
                <w:sz w:val="18"/>
                <w:szCs w:val="18"/>
              </w:rPr>
              <w:t>日至</w:t>
            </w: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报告期末、期末</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人民币元</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《公司法》</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《中华人民共和国公司法》</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《公司章程》</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《广东翔鹭钨业股份有限公司章程》</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股东大会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广东翔鹭钨业股份有限公司股东大会</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董事会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广东翔鹭钨业股份有限公司董事会</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监事会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广东翔鹭钨业股份有限公司监事会</w:t>
            </w:r>
          </w:p>
        </w:tc>
      </w:tr>
    </w:tbl>
    <w:p w:rsidR="0058782B" w:rsidRPr="00F50B51" w:rsidRDefault="00F80EE7">
      <w:r w:rsidRPr="00F50B51">
        <w:br w:type="page"/>
      </w:r>
    </w:p>
    <w:p w:rsidR="0058782B" w:rsidRPr="00F50B51" w:rsidRDefault="00F80EE7">
      <w:pPr>
        <w:pStyle w:val="headingh1"/>
        <w:spacing w:before="340" w:after="330" w:line="773" w:lineRule="exact"/>
        <w:jc w:val="center"/>
        <w:rPr>
          <w:rFonts w:ascii="宋体" w:eastAsia="宋体" w:hAnsi="宋体" w:cs="宋体"/>
          <w:b/>
          <w:bCs/>
          <w:sz w:val="32"/>
          <w:szCs w:val="32"/>
        </w:rPr>
      </w:pPr>
      <w:bookmarkStart w:id="1" w:name="_Toc988890"/>
      <w:r w:rsidRPr="00F50B51">
        <w:rPr>
          <w:rFonts w:ascii="宋体" w:eastAsia="宋体" w:hAnsi="宋体" w:cs="宋体"/>
          <w:b/>
          <w:bCs/>
          <w:sz w:val="32"/>
          <w:szCs w:val="32"/>
        </w:rPr>
        <w:lastRenderedPageBreak/>
        <w:t>第二节</w:t>
      </w:r>
      <w:r w:rsidRPr="00F50B51">
        <w:rPr>
          <w:rFonts w:ascii="宋体" w:eastAsia="宋体" w:hAnsi="宋体" w:cs="宋体"/>
          <w:b/>
          <w:bCs/>
          <w:sz w:val="32"/>
          <w:szCs w:val="32"/>
        </w:rPr>
        <w:t xml:space="preserve"> </w:t>
      </w:r>
      <w:r w:rsidRPr="00F50B51">
        <w:rPr>
          <w:rFonts w:ascii="宋体" w:eastAsia="宋体" w:hAnsi="宋体" w:cs="宋体"/>
          <w:b/>
          <w:bCs/>
          <w:sz w:val="32"/>
          <w:szCs w:val="32"/>
        </w:rPr>
        <w:t>公司简介和主要财务指标</w:t>
      </w:r>
      <w:bookmarkEnd w:id="1"/>
    </w:p>
    <w:p w:rsidR="0058782B" w:rsidRPr="00F50B51" w:rsidRDefault="00F80EE7">
      <w:pPr>
        <w:pStyle w:val="2"/>
        <w:spacing w:before="300" w:after="300" w:line="320" w:lineRule="exact"/>
        <w:rPr>
          <w:rFonts w:ascii="宋体" w:eastAsia="宋体" w:hAnsi="宋体" w:cs="宋体"/>
          <w:b/>
          <w:bCs/>
          <w:sz w:val="24"/>
          <w:szCs w:val="24"/>
        </w:rPr>
      </w:pPr>
      <w:bookmarkStart w:id="2" w:name="_Toc988891"/>
      <w:r w:rsidRPr="00F50B51">
        <w:rPr>
          <w:rFonts w:ascii="宋体" w:eastAsia="宋体" w:hAnsi="宋体" w:cs="宋体"/>
          <w:b/>
          <w:bCs/>
          <w:sz w:val="24"/>
          <w:szCs w:val="24"/>
        </w:rPr>
        <w:t>一、公司简介</w:t>
      </w:r>
      <w:bookmarkEnd w:id="2"/>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股票简称</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翔鹭钨业</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股票代码</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002842</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股票上市证券交易所</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深圳证券交易所</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公司的中文名称</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公司的中文简称（如有）</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翔鹭钨业</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公司的外文名称（如有）</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Guangdong Xianglu Tungsten Co., Ltd.</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公司的法定代表人</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w:t>
            </w:r>
          </w:p>
        </w:tc>
      </w:tr>
    </w:tbl>
    <w:p w:rsidR="0058782B" w:rsidRPr="00F50B51" w:rsidRDefault="00F80EE7">
      <w:pPr>
        <w:pStyle w:val="2"/>
        <w:spacing w:before="300" w:after="300" w:line="320" w:lineRule="exact"/>
        <w:rPr>
          <w:rFonts w:ascii="宋体" w:eastAsia="宋体" w:hAnsi="宋体" w:cs="宋体"/>
          <w:b/>
          <w:bCs/>
          <w:sz w:val="24"/>
          <w:szCs w:val="24"/>
        </w:rPr>
      </w:pPr>
      <w:bookmarkStart w:id="3" w:name="_Toc988892"/>
      <w:r w:rsidRPr="00F50B51">
        <w:rPr>
          <w:rFonts w:ascii="宋体" w:eastAsia="宋体" w:hAnsi="宋体" w:cs="宋体"/>
          <w:b/>
          <w:bCs/>
          <w:sz w:val="24"/>
          <w:szCs w:val="24"/>
        </w:rPr>
        <w:t>二、联系人和联系方式</w:t>
      </w:r>
      <w:bookmarkEnd w:id="3"/>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董事会秘书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证券事务代表</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姓名</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李盛意</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杨逢</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联系地址</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广东省潮州市湘桥区官塘镇庵头工业区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广东省潮州市湘桥区官塘镇庵头工业区</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电话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0768-6972888(8068)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0768-6972888(8068)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传真</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0768-6303998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0768-6303998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电子信箱</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Stock@xl-tungsten.com</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Stock@xl-tungsten.com</w:t>
            </w:r>
          </w:p>
        </w:tc>
      </w:tr>
    </w:tbl>
    <w:p w:rsidR="0058782B" w:rsidRPr="00F50B51" w:rsidRDefault="00F80EE7">
      <w:pPr>
        <w:pStyle w:val="2"/>
        <w:spacing w:before="300" w:after="300" w:line="320" w:lineRule="exact"/>
        <w:rPr>
          <w:rFonts w:ascii="宋体" w:eastAsia="宋体" w:hAnsi="宋体" w:cs="宋体"/>
          <w:b/>
          <w:bCs/>
          <w:sz w:val="24"/>
          <w:szCs w:val="24"/>
        </w:rPr>
      </w:pPr>
      <w:bookmarkStart w:id="4" w:name="_Toc988893"/>
      <w:r w:rsidRPr="00F50B51">
        <w:rPr>
          <w:rFonts w:ascii="宋体" w:eastAsia="宋体" w:hAnsi="宋体" w:cs="宋体"/>
          <w:b/>
          <w:bCs/>
          <w:sz w:val="24"/>
          <w:szCs w:val="24"/>
        </w:rPr>
        <w:t>三、其他情况</w:t>
      </w:r>
      <w:bookmarkEnd w:id="4"/>
    </w:p>
    <w:p w:rsidR="0058782B" w:rsidRPr="00F50B51" w:rsidRDefault="00F80EE7">
      <w:pPr>
        <w:pStyle w:val="3"/>
        <w:spacing w:line="280" w:lineRule="exact"/>
        <w:jc w:val="left"/>
        <w:rPr>
          <w:rFonts w:ascii="宋体" w:hAnsi="宋体" w:cs="宋体"/>
          <w:b/>
          <w:bCs/>
        </w:rPr>
      </w:pPr>
      <w:bookmarkStart w:id="5" w:name="_Toc988894"/>
      <w:r w:rsidRPr="00F50B51">
        <w:rPr>
          <w:rFonts w:ascii="宋体" w:hAnsi="宋体" w:cs="宋体"/>
          <w:b/>
          <w:bCs/>
        </w:rPr>
        <w:t>1</w:t>
      </w:r>
      <w:r w:rsidRPr="00F50B51">
        <w:rPr>
          <w:rFonts w:ascii="宋体" w:hAnsi="宋体" w:cs="宋体"/>
          <w:b/>
          <w:bCs/>
        </w:rPr>
        <w:t>、公司联系方式</w:t>
      </w:r>
      <w:bookmarkEnd w:id="5"/>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公司注册地址，公司办公地址及其邮政编码，公司网址、电子信箱在报告期是否变化</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公司注册地址，公司办公地址及其邮政编码，公司网址、电子信箱报告期无变化，具体可参见</w:t>
      </w:r>
      <w:r w:rsidRPr="00F50B51">
        <w:rPr>
          <w:rFonts w:ascii="宋体" w:eastAsia="宋体" w:hAnsi="宋体" w:cs="宋体"/>
          <w:sz w:val="18"/>
          <w:szCs w:val="18"/>
        </w:rPr>
        <w:t>2021</w:t>
      </w:r>
      <w:r w:rsidRPr="00F50B51">
        <w:rPr>
          <w:rFonts w:ascii="宋体" w:eastAsia="宋体" w:hAnsi="宋体" w:cs="宋体"/>
          <w:sz w:val="18"/>
          <w:szCs w:val="18"/>
        </w:rPr>
        <w:t>年年报。</w:t>
      </w:r>
    </w:p>
    <w:p w:rsidR="0058782B" w:rsidRPr="00F50B51" w:rsidRDefault="00F80EE7">
      <w:pPr>
        <w:pStyle w:val="3"/>
        <w:spacing w:line="280" w:lineRule="exact"/>
        <w:jc w:val="left"/>
        <w:rPr>
          <w:rFonts w:ascii="宋体" w:hAnsi="宋体" w:cs="宋体"/>
          <w:b/>
          <w:bCs/>
        </w:rPr>
      </w:pPr>
      <w:bookmarkStart w:id="6" w:name="_Toc988895"/>
      <w:r w:rsidRPr="00F50B51">
        <w:rPr>
          <w:rFonts w:ascii="宋体" w:hAnsi="宋体" w:cs="宋体"/>
          <w:b/>
          <w:bCs/>
        </w:rPr>
        <w:t>2</w:t>
      </w:r>
      <w:r w:rsidRPr="00F50B51">
        <w:rPr>
          <w:rFonts w:ascii="宋体" w:hAnsi="宋体" w:cs="宋体"/>
          <w:b/>
          <w:bCs/>
        </w:rPr>
        <w:t>、信息披露及备置地点</w:t>
      </w:r>
      <w:bookmarkEnd w:id="6"/>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信息披露及备置地点在报告期是否变化</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公司选定的信息披露报纸的名称，登载半年度报告的中国证监会指定网站的网址，公司半年度报告备置地报告期无变化，具体可参见</w:t>
      </w:r>
      <w:r w:rsidRPr="00F50B51">
        <w:rPr>
          <w:rFonts w:ascii="宋体" w:eastAsia="宋体" w:hAnsi="宋体" w:cs="宋体"/>
          <w:sz w:val="18"/>
          <w:szCs w:val="18"/>
        </w:rPr>
        <w:t>2021</w:t>
      </w:r>
      <w:r w:rsidRPr="00F50B51">
        <w:rPr>
          <w:rFonts w:ascii="宋体" w:eastAsia="宋体" w:hAnsi="宋体" w:cs="宋体"/>
          <w:sz w:val="18"/>
          <w:szCs w:val="18"/>
        </w:rPr>
        <w:t>年年报。</w:t>
      </w:r>
    </w:p>
    <w:p w:rsidR="0058782B" w:rsidRPr="00F50B51" w:rsidRDefault="00F80EE7">
      <w:pPr>
        <w:pStyle w:val="3"/>
        <w:spacing w:line="280" w:lineRule="exact"/>
        <w:jc w:val="left"/>
        <w:rPr>
          <w:rFonts w:ascii="宋体" w:hAnsi="宋体" w:cs="宋体"/>
          <w:b/>
          <w:bCs/>
        </w:rPr>
      </w:pPr>
      <w:bookmarkStart w:id="7" w:name="_Toc988896"/>
      <w:r w:rsidRPr="00F50B51">
        <w:rPr>
          <w:rFonts w:ascii="宋体" w:hAnsi="宋体" w:cs="宋体"/>
          <w:b/>
          <w:bCs/>
        </w:rPr>
        <w:t>3</w:t>
      </w:r>
      <w:r w:rsidRPr="00F50B51">
        <w:rPr>
          <w:rFonts w:ascii="宋体" w:hAnsi="宋体" w:cs="宋体"/>
          <w:b/>
          <w:bCs/>
        </w:rPr>
        <w:t>、其他有关资料</w:t>
      </w:r>
      <w:bookmarkEnd w:id="7"/>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其他有关资料在报告期是否变更情况</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2"/>
        <w:spacing w:before="300" w:after="300" w:line="320" w:lineRule="exact"/>
        <w:rPr>
          <w:rFonts w:ascii="宋体" w:eastAsia="宋体" w:hAnsi="宋体" w:cs="宋体"/>
          <w:b/>
          <w:bCs/>
          <w:sz w:val="24"/>
          <w:szCs w:val="24"/>
        </w:rPr>
      </w:pPr>
      <w:bookmarkStart w:id="8" w:name="_Toc988897"/>
      <w:r w:rsidRPr="00F50B51">
        <w:rPr>
          <w:rFonts w:ascii="宋体" w:eastAsia="宋体" w:hAnsi="宋体" w:cs="宋体"/>
          <w:b/>
          <w:bCs/>
          <w:sz w:val="24"/>
          <w:szCs w:val="24"/>
        </w:rPr>
        <w:t>四、主要会计数据和财务指标</w:t>
      </w:r>
      <w:bookmarkEnd w:id="8"/>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公司是否需追溯调整或重述以前年度会计数据</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lastRenderedPageBreak/>
        <w:t>□</w:t>
      </w:r>
      <w:r w:rsidRPr="00F50B51">
        <w:rPr>
          <w:rFonts w:ascii="宋体" w:eastAsia="宋体" w:hAnsi="宋体" w:cs="宋体"/>
          <w:sz w:val="18"/>
          <w:szCs w:val="18"/>
        </w:rPr>
        <w:t>是</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否</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上年同期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本报告期比上年同期增减</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营业收入（元）</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900,742,350.39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775,505,881.77</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16.15%</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归属于上市公司股东的净利润（元）</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23,080,259.27</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24,277,247.52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-4.93%</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归属于上市公司股东的扣除非经常性损益的净利润（元）</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16,359,259.28</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22,115,192.63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-26.03%</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经营活动产生的现金流量净额（元）</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26,409,214.59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10,673,285.54</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147.43%</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基本每股收益（元</w:t>
            </w:r>
            <w:r w:rsidRPr="00F50B51">
              <w:rPr>
                <w:rFonts w:ascii="宋体" w:eastAsia="宋体" w:hAnsi="宋体" w:cs="宋体"/>
                <w:sz w:val="18"/>
                <w:szCs w:val="18"/>
              </w:rPr>
              <w:t>/</w:t>
            </w:r>
            <w:r w:rsidRPr="00F50B51">
              <w:rPr>
                <w:rFonts w:ascii="宋体" w:eastAsia="宋体" w:hAnsi="宋体" w:cs="宋体"/>
                <w:sz w:val="18"/>
                <w:szCs w:val="18"/>
              </w:rPr>
              <w:t>股）</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0.083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-7.78%</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稀释每股收益（元</w:t>
            </w:r>
            <w:r w:rsidRPr="00F50B51">
              <w:rPr>
                <w:rFonts w:ascii="宋体" w:eastAsia="宋体" w:hAnsi="宋体" w:cs="宋体"/>
                <w:sz w:val="18"/>
                <w:szCs w:val="18"/>
              </w:rPr>
              <w:t>/</w:t>
            </w:r>
            <w:r w:rsidRPr="00F50B51">
              <w:rPr>
                <w:rFonts w:ascii="宋体" w:eastAsia="宋体" w:hAnsi="宋体" w:cs="宋体"/>
                <w:sz w:val="18"/>
                <w:szCs w:val="18"/>
              </w:rPr>
              <w:t>股）</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0.083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-7.78%</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加权平均净资产收益率</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2.26%</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-0.17%</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本报告期末</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上年度末</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本报告期末比上年度末增减</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总资产（元）</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2,419,756,830.84</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2,425,286,571.84</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-0.23%</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归属于上市公司股东的净资产（元）</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1,006,210,601.59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1,012,324,287.37</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-0.60%</w:t>
            </w:r>
          </w:p>
        </w:tc>
      </w:tr>
    </w:tbl>
    <w:p w:rsidR="0058782B" w:rsidRPr="00F50B51" w:rsidRDefault="00F80EE7">
      <w:pPr>
        <w:pStyle w:val="2"/>
        <w:spacing w:before="300" w:after="300" w:line="320" w:lineRule="exact"/>
        <w:rPr>
          <w:rFonts w:ascii="宋体" w:eastAsia="宋体" w:hAnsi="宋体" w:cs="宋体"/>
          <w:b/>
          <w:bCs/>
          <w:sz w:val="24"/>
          <w:szCs w:val="24"/>
        </w:rPr>
      </w:pPr>
      <w:bookmarkStart w:id="9" w:name="_Toc988898"/>
      <w:r w:rsidRPr="00F50B51">
        <w:rPr>
          <w:rFonts w:ascii="宋体" w:eastAsia="宋体" w:hAnsi="宋体" w:cs="宋体"/>
          <w:b/>
          <w:bCs/>
          <w:sz w:val="24"/>
          <w:szCs w:val="24"/>
        </w:rPr>
        <w:t>五、境内外会计准则下会计数据差异</w:t>
      </w:r>
      <w:bookmarkEnd w:id="9"/>
    </w:p>
    <w:p w:rsidR="0058782B" w:rsidRPr="00F50B51" w:rsidRDefault="00F80EE7">
      <w:pPr>
        <w:pStyle w:val="3"/>
        <w:spacing w:line="280" w:lineRule="exact"/>
        <w:jc w:val="left"/>
        <w:rPr>
          <w:rFonts w:ascii="宋体" w:hAnsi="宋体" w:cs="宋体"/>
          <w:b/>
          <w:bCs/>
        </w:rPr>
      </w:pPr>
      <w:bookmarkStart w:id="10" w:name="_Toc988899"/>
      <w:r w:rsidRPr="00F50B51">
        <w:rPr>
          <w:rFonts w:ascii="宋体" w:hAnsi="宋体" w:cs="宋体"/>
          <w:b/>
          <w:bCs/>
        </w:rPr>
        <w:t>1</w:t>
      </w:r>
      <w:r w:rsidRPr="00F50B51">
        <w:rPr>
          <w:rFonts w:ascii="宋体" w:hAnsi="宋体" w:cs="宋体"/>
          <w:b/>
          <w:bCs/>
        </w:rPr>
        <w:t>、同时按照国际会计准则与按照中国会计准则披露的财务报告中净利润和净资产差异情况</w:t>
      </w:r>
      <w:bookmarkEnd w:id="10"/>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公司报告期不存在按照国际会计准则与按照中国会计准则披露的财务报告中净利润和净资产差异情况。</w:t>
      </w:r>
    </w:p>
    <w:p w:rsidR="0058782B" w:rsidRPr="00F50B51" w:rsidRDefault="00F80EE7">
      <w:pPr>
        <w:pStyle w:val="3"/>
        <w:spacing w:line="280" w:lineRule="exact"/>
        <w:jc w:val="left"/>
        <w:rPr>
          <w:rFonts w:ascii="宋体" w:hAnsi="宋体" w:cs="宋体"/>
          <w:b/>
          <w:bCs/>
        </w:rPr>
      </w:pPr>
      <w:bookmarkStart w:id="11" w:name="_Toc988900"/>
      <w:r w:rsidRPr="00F50B51">
        <w:rPr>
          <w:rFonts w:ascii="宋体" w:hAnsi="宋体" w:cs="宋体"/>
          <w:b/>
          <w:bCs/>
        </w:rPr>
        <w:t>2</w:t>
      </w:r>
      <w:r w:rsidRPr="00F50B51">
        <w:rPr>
          <w:rFonts w:ascii="宋体" w:hAnsi="宋体" w:cs="宋体"/>
          <w:b/>
          <w:bCs/>
        </w:rPr>
        <w:t>、同时按照境外会计准则与按照中国会计准则披露的财务报告中净利润和净资产差异情况</w:t>
      </w:r>
      <w:bookmarkEnd w:id="11"/>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公司报告期不存在按照境外会计准则与按照中国会计准则披露的财务报告中净利润和净资产差异情况。</w:t>
      </w:r>
    </w:p>
    <w:p w:rsidR="0058782B" w:rsidRPr="00F50B51" w:rsidRDefault="00F80EE7">
      <w:pPr>
        <w:pStyle w:val="2"/>
        <w:spacing w:before="300" w:after="300" w:line="320" w:lineRule="exact"/>
        <w:rPr>
          <w:rFonts w:ascii="宋体" w:eastAsia="宋体" w:hAnsi="宋体" w:cs="宋体"/>
          <w:b/>
          <w:bCs/>
          <w:sz w:val="24"/>
          <w:szCs w:val="24"/>
        </w:rPr>
      </w:pPr>
      <w:bookmarkStart w:id="12" w:name="_Toc988901"/>
      <w:r w:rsidRPr="00F50B51">
        <w:rPr>
          <w:rFonts w:ascii="宋体" w:eastAsia="宋体" w:hAnsi="宋体" w:cs="宋体"/>
          <w:b/>
          <w:bCs/>
          <w:sz w:val="24"/>
          <w:szCs w:val="24"/>
        </w:rPr>
        <w:t>六、非经常性损益项目及金额</w:t>
      </w:r>
      <w:bookmarkEnd w:id="12"/>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说明</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非流动资产处置损益（包括已计提资产减值准备的冲销部分）</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-272,987.33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固定资产报废损失</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计入当期损益的政府补助（与公司正常经营业务密切相关，符合国家政策规定、按照一定标准定额或定量持续享受的政府补助除外）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7,657,309.26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政府补助</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334,603.66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处置可供出售金融资产等取得的投资收益</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除上述各项之外的其他营业外收入和支出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400.60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收取的违约金</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其他符合非经常性损益定义的损益项目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197,456.43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个税手续费返还及岗前培训补贴等</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减：所得税影响额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1,195,782.63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6,720,999.99</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其他符合非经常性损益定义的损益项目的具体情况：</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pStyle w:val="a7"/>
        <w:spacing w:before="0" w:beforeAutospacing="0" w:after="0" w:afterAutospacing="0"/>
        <w:rPr>
          <w:sz w:val="18"/>
          <w:szCs w:val="18"/>
        </w:rPr>
      </w:pPr>
      <w:r w:rsidRPr="00F50B51">
        <w:rPr>
          <w:rFonts w:hint="eastAsia"/>
          <w:sz w:val="18"/>
          <w:szCs w:val="18"/>
        </w:rPr>
        <w:t>包含个税手续费返回</w:t>
      </w:r>
      <w:r w:rsidRPr="00F50B51">
        <w:rPr>
          <w:rFonts w:ascii="Times New Roman" w:hAnsi="Times New Roman" w:cs="Times New Roman"/>
          <w:sz w:val="18"/>
          <w:szCs w:val="18"/>
        </w:rPr>
        <w:t>7,607.12</w:t>
      </w:r>
      <w:r w:rsidRPr="00F50B51">
        <w:rPr>
          <w:rFonts w:hint="eastAsia"/>
          <w:sz w:val="18"/>
          <w:szCs w:val="18"/>
        </w:rPr>
        <w:t>元，稳岗、就业补贴等</w:t>
      </w:r>
      <w:r w:rsidRPr="00F50B51">
        <w:rPr>
          <w:rFonts w:ascii="Times New Roman" w:hAnsi="Times New Roman" w:cs="Times New Roman"/>
          <w:sz w:val="18"/>
          <w:szCs w:val="18"/>
        </w:rPr>
        <w:t>189,849.31</w:t>
      </w:r>
      <w:r w:rsidRPr="00F50B51">
        <w:rPr>
          <w:rFonts w:hint="eastAsia"/>
          <w:sz w:val="18"/>
          <w:szCs w:val="18"/>
        </w:rPr>
        <w:t>元</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将《公开发行证券的公司信息披露解释性公告第</w:t>
      </w:r>
      <w:r w:rsidRPr="00F50B51">
        <w:rPr>
          <w:rFonts w:ascii="宋体" w:eastAsia="宋体" w:hAnsi="宋体" w:cs="宋体"/>
          <w:sz w:val="18"/>
          <w:szCs w:val="18"/>
        </w:rPr>
        <w:t>1</w:t>
      </w:r>
      <w:r w:rsidRPr="00F50B51">
        <w:rPr>
          <w:rFonts w:ascii="宋体" w:eastAsia="宋体" w:hAnsi="宋体" w:cs="宋体"/>
          <w:sz w:val="18"/>
          <w:szCs w:val="18"/>
        </w:rPr>
        <w:t>号</w:t>
      </w:r>
      <w:r w:rsidRPr="00F50B51">
        <w:rPr>
          <w:rFonts w:ascii="宋体" w:eastAsia="宋体" w:hAnsi="宋体" w:cs="宋体"/>
          <w:sz w:val="18"/>
          <w:szCs w:val="18"/>
        </w:rPr>
        <w:t>——</w:t>
      </w:r>
      <w:r w:rsidRPr="00F50B51">
        <w:rPr>
          <w:rFonts w:ascii="宋体" w:eastAsia="宋体" w:hAnsi="宋体" w:cs="宋体"/>
          <w:sz w:val="18"/>
          <w:szCs w:val="18"/>
        </w:rPr>
        <w:t>非经常性损益》中列举的非经常性损益项目界定为经常性损益项目的情况说明</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公司不存在将《公开发行证券的公司信息披露解释性公告第</w:t>
      </w:r>
      <w:r w:rsidRPr="00F50B51">
        <w:rPr>
          <w:rFonts w:ascii="宋体" w:eastAsia="宋体" w:hAnsi="宋体" w:cs="宋体"/>
          <w:sz w:val="18"/>
          <w:szCs w:val="18"/>
        </w:rPr>
        <w:t>1</w:t>
      </w:r>
      <w:r w:rsidRPr="00F50B51">
        <w:rPr>
          <w:rFonts w:ascii="宋体" w:eastAsia="宋体" w:hAnsi="宋体" w:cs="宋体"/>
          <w:sz w:val="18"/>
          <w:szCs w:val="18"/>
        </w:rPr>
        <w:t>号</w:t>
      </w:r>
      <w:r w:rsidRPr="00F50B51">
        <w:rPr>
          <w:rFonts w:ascii="宋体" w:eastAsia="宋体" w:hAnsi="宋体" w:cs="宋体"/>
          <w:sz w:val="18"/>
          <w:szCs w:val="18"/>
        </w:rPr>
        <w:t>——</w:t>
      </w:r>
      <w:r w:rsidRPr="00F50B51">
        <w:rPr>
          <w:rFonts w:ascii="宋体" w:eastAsia="宋体" w:hAnsi="宋体" w:cs="宋体"/>
          <w:sz w:val="18"/>
          <w:szCs w:val="18"/>
        </w:rPr>
        <w:t>非经常性损益》中列举的非经常性损益项目界定为经常性损益的项目的情形。</w:t>
      </w:r>
    </w:p>
    <w:p w:rsidR="0058782B" w:rsidRPr="00F50B51" w:rsidRDefault="00F80EE7">
      <w:r w:rsidRPr="00F50B51">
        <w:br w:type="page"/>
      </w:r>
    </w:p>
    <w:p w:rsidR="0058782B" w:rsidRPr="00F50B51" w:rsidRDefault="00F80EE7">
      <w:pPr>
        <w:pStyle w:val="headingh1"/>
        <w:spacing w:before="340" w:after="330" w:line="773" w:lineRule="exact"/>
        <w:jc w:val="center"/>
        <w:rPr>
          <w:rFonts w:ascii="宋体" w:eastAsia="宋体" w:hAnsi="宋体" w:cs="宋体"/>
          <w:b/>
          <w:bCs/>
          <w:sz w:val="32"/>
          <w:szCs w:val="32"/>
        </w:rPr>
      </w:pPr>
      <w:bookmarkStart w:id="13" w:name="_Toc988902"/>
      <w:r w:rsidRPr="00F50B51">
        <w:rPr>
          <w:rFonts w:ascii="宋体" w:eastAsia="宋体" w:hAnsi="宋体" w:cs="宋体"/>
          <w:b/>
          <w:bCs/>
          <w:sz w:val="32"/>
          <w:szCs w:val="32"/>
        </w:rPr>
        <w:lastRenderedPageBreak/>
        <w:t>第三节</w:t>
      </w:r>
      <w:r w:rsidRPr="00F50B51">
        <w:rPr>
          <w:rFonts w:ascii="宋体" w:eastAsia="宋体" w:hAnsi="宋体" w:cs="宋体"/>
          <w:b/>
          <w:bCs/>
          <w:sz w:val="32"/>
          <w:szCs w:val="32"/>
        </w:rPr>
        <w:t xml:space="preserve"> </w:t>
      </w:r>
      <w:r w:rsidRPr="00F50B51">
        <w:rPr>
          <w:rFonts w:ascii="宋体" w:eastAsia="宋体" w:hAnsi="宋体" w:cs="宋体"/>
          <w:b/>
          <w:bCs/>
          <w:sz w:val="32"/>
          <w:szCs w:val="32"/>
        </w:rPr>
        <w:t>管理层讨论与分析</w:t>
      </w:r>
      <w:bookmarkEnd w:id="13"/>
    </w:p>
    <w:p w:rsidR="0058782B" w:rsidRPr="00F50B51" w:rsidRDefault="00F80EE7">
      <w:pPr>
        <w:pStyle w:val="2"/>
        <w:spacing w:before="300" w:after="300" w:line="320" w:lineRule="exact"/>
        <w:rPr>
          <w:rFonts w:ascii="宋体" w:eastAsia="宋体" w:hAnsi="宋体" w:cs="宋体"/>
          <w:b/>
          <w:bCs/>
          <w:sz w:val="24"/>
          <w:szCs w:val="24"/>
        </w:rPr>
      </w:pPr>
      <w:bookmarkStart w:id="14" w:name="_Toc988903"/>
      <w:r w:rsidRPr="00F50B51">
        <w:rPr>
          <w:rFonts w:ascii="宋体" w:eastAsia="宋体" w:hAnsi="宋体" w:cs="宋体"/>
          <w:b/>
          <w:bCs/>
          <w:sz w:val="24"/>
          <w:szCs w:val="24"/>
        </w:rPr>
        <w:t>一、报告期内公司从事的主要业务</w:t>
      </w:r>
      <w:bookmarkEnd w:id="14"/>
    </w:p>
    <w:p w:rsidR="0058782B" w:rsidRPr="00F50B51" w:rsidRDefault="00F80EE7">
      <w:pPr>
        <w:ind w:firstLineChars="200" w:firstLine="360"/>
        <w:jc w:val="both"/>
      </w:pPr>
      <w:r w:rsidRPr="00F50B51">
        <w:rPr>
          <w:rFonts w:ascii="宋体" w:hAnsi="宋体"/>
          <w:sz w:val="18"/>
        </w:rPr>
        <w:t>报告期内全球疫情仍在持续，世界经济复苏动力不足，全球主要经济体</w:t>
      </w:r>
      <w:r w:rsidRPr="00F50B51">
        <w:rPr>
          <w:rFonts w:ascii="宋体" w:hAnsi="宋体"/>
          <w:sz w:val="18"/>
        </w:rPr>
        <w:t>GDP</w:t>
      </w:r>
      <w:r w:rsidRPr="00F50B51">
        <w:rPr>
          <w:rFonts w:ascii="宋体" w:hAnsi="宋体"/>
          <w:sz w:val="18"/>
        </w:rPr>
        <w:t>增长放缓、通胀高位运行，地缘政治冲突持续，石油能源、天然气等输入性通胀压力大。我国经济发展面临需求收缩、疫情防控、预期转弱等多重压力，局部疫情时有发生，消费和投资恢复迟缓，使国内制造业利润空间受到挤压。随着国家逐步推出一系列积极稳健的货币政策和经济刺激措施，下半年我国经济会不断恢复，经济长期向好的基本面没有改变。根据中国有色金属工业协会发布的</w:t>
      </w:r>
      <w:r w:rsidRPr="00F50B51">
        <w:rPr>
          <w:rFonts w:ascii="宋体" w:hAnsi="宋体"/>
          <w:sz w:val="18"/>
        </w:rPr>
        <w:t xml:space="preserve"> 2022 </w:t>
      </w:r>
      <w:r w:rsidRPr="00F50B51">
        <w:rPr>
          <w:rFonts w:ascii="宋体" w:hAnsi="宋体"/>
          <w:sz w:val="18"/>
        </w:rPr>
        <w:t>年上半年有色金属工业经济的运行情况来看，上半年规模以上有色金属工业企业实现营业收入</w:t>
      </w:r>
      <w:r w:rsidRPr="00F50B51">
        <w:rPr>
          <w:rFonts w:ascii="宋体" w:hAnsi="宋体"/>
          <w:sz w:val="18"/>
        </w:rPr>
        <w:t xml:space="preserve"> 39</w:t>
      </w:r>
      <w:r w:rsidRPr="00F50B51">
        <w:rPr>
          <w:rFonts w:ascii="宋体" w:hAnsi="宋体"/>
          <w:sz w:val="18"/>
        </w:rPr>
        <w:t xml:space="preserve">,720.9 </w:t>
      </w:r>
      <w:r w:rsidRPr="00F50B51">
        <w:rPr>
          <w:rFonts w:ascii="宋体" w:hAnsi="宋体"/>
          <w:sz w:val="18"/>
        </w:rPr>
        <w:t>亿元，同比增长</w:t>
      </w:r>
      <w:r w:rsidRPr="00F50B51">
        <w:rPr>
          <w:rFonts w:ascii="宋体" w:hAnsi="宋体"/>
          <w:sz w:val="18"/>
        </w:rPr>
        <w:t xml:space="preserve"> 18.6%</w:t>
      </w:r>
      <w:r w:rsidRPr="00F50B51">
        <w:rPr>
          <w:rFonts w:ascii="宋体" w:hAnsi="宋体"/>
          <w:sz w:val="18"/>
        </w:rPr>
        <w:t>，增幅较一季度放缓</w:t>
      </w:r>
      <w:r w:rsidRPr="00F50B51">
        <w:rPr>
          <w:rFonts w:ascii="宋体" w:hAnsi="宋体"/>
          <w:sz w:val="18"/>
        </w:rPr>
        <w:t xml:space="preserve"> 5.8%</w:t>
      </w:r>
      <w:r w:rsidRPr="00F50B51">
        <w:rPr>
          <w:rFonts w:ascii="宋体" w:hAnsi="宋体"/>
          <w:sz w:val="18"/>
        </w:rPr>
        <w:t>。</w:t>
      </w:r>
    </w:p>
    <w:p w:rsidR="0058782B" w:rsidRPr="00F50B51" w:rsidRDefault="00F80EE7">
      <w:pPr>
        <w:spacing w:before="119"/>
        <w:ind w:firstLine="420"/>
        <w:jc w:val="both"/>
      </w:pPr>
      <w:r w:rsidRPr="00F50B51">
        <w:rPr>
          <w:rFonts w:ascii="宋体" w:hAnsi="宋体"/>
          <w:sz w:val="18"/>
        </w:rPr>
        <w:t>报告期内，公司主要业务未发生重大变化。公司实现营业收入</w:t>
      </w:r>
      <w:r w:rsidRPr="00F50B51">
        <w:rPr>
          <w:rFonts w:ascii="宋体" w:hAnsi="宋体"/>
          <w:sz w:val="18"/>
        </w:rPr>
        <w:t>90,074.24</w:t>
      </w:r>
      <w:r w:rsidRPr="00F50B51">
        <w:rPr>
          <w:rFonts w:ascii="宋体" w:hAnsi="宋体"/>
          <w:sz w:val="18"/>
        </w:rPr>
        <w:t>万元，比上年同期增长</w:t>
      </w:r>
      <w:r w:rsidRPr="00F50B51">
        <w:rPr>
          <w:rFonts w:ascii="宋体" w:hAnsi="宋体"/>
          <w:sz w:val="18"/>
        </w:rPr>
        <w:t>16.15%</w:t>
      </w:r>
      <w:r w:rsidRPr="00F50B51">
        <w:rPr>
          <w:rFonts w:ascii="宋体" w:hAnsi="宋体"/>
          <w:sz w:val="18"/>
        </w:rPr>
        <w:t>；归属于上市公司股东的净利润</w:t>
      </w:r>
      <w:r w:rsidRPr="00F50B51">
        <w:rPr>
          <w:rFonts w:ascii="宋体" w:hAnsi="宋体"/>
          <w:sz w:val="18"/>
        </w:rPr>
        <w:t>2,308.03</w:t>
      </w:r>
      <w:r w:rsidRPr="00F50B51">
        <w:rPr>
          <w:rFonts w:ascii="宋体" w:hAnsi="宋体"/>
          <w:sz w:val="18"/>
        </w:rPr>
        <w:t>万元，比上年同期减少</w:t>
      </w:r>
      <w:r w:rsidRPr="00F50B51">
        <w:rPr>
          <w:rFonts w:ascii="宋体" w:hAnsi="宋体"/>
          <w:sz w:val="18"/>
        </w:rPr>
        <w:t>4.93%</w:t>
      </w:r>
      <w:r w:rsidRPr="00F50B51">
        <w:rPr>
          <w:rFonts w:ascii="宋体" w:hAnsi="宋体"/>
          <w:sz w:val="18"/>
        </w:rPr>
        <w:t>。</w:t>
      </w:r>
    </w:p>
    <w:p w:rsidR="0058782B" w:rsidRPr="00F50B51" w:rsidRDefault="00F80EE7">
      <w:pPr>
        <w:spacing w:before="119"/>
        <w:ind w:firstLine="420"/>
        <w:jc w:val="both"/>
      </w:pPr>
      <w:r w:rsidRPr="00F50B51">
        <w:rPr>
          <w:rFonts w:ascii="宋体" w:hAnsi="宋体"/>
          <w:sz w:val="18"/>
        </w:rPr>
        <w:t>1</w:t>
      </w:r>
      <w:r w:rsidRPr="00F50B51">
        <w:rPr>
          <w:rFonts w:ascii="宋体" w:hAnsi="宋体"/>
          <w:sz w:val="18"/>
        </w:rPr>
        <w:t>、主要业务</w:t>
      </w:r>
    </w:p>
    <w:p w:rsidR="0058782B" w:rsidRPr="00F50B51" w:rsidRDefault="00F80EE7">
      <w:pPr>
        <w:spacing w:before="119"/>
        <w:ind w:firstLine="420"/>
        <w:jc w:val="both"/>
      </w:pPr>
      <w:r w:rsidRPr="00F50B51">
        <w:rPr>
          <w:rFonts w:hint="eastAsia"/>
          <w:color w:val="000000"/>
          <w:sz w:val="18"/>
          <w:szCs w:val="18"/>
        </w:rPr>
        <w:t>钨是我国重要的战略稀缺资源，具有高熔点、高比重、高硬度的物理特性，广泛应用于航天、原子能、船舶、汽车工业、电气工业、电子工业、化学工业、光伏等重要领域。近年来随着新的应用场景的出现和研发创新的深入，钨金属各种优异的物理性能在新的应用领域得以较大的拓展和延伸；如高硬度、高强度特性应用于光伏硅片切割的钨丝线切割领域，随着渗透率的提升，未来对钨的消费会有一定的增量，高熔点特性也逐步在部分耐温新材料中有新的应用，对部分电子元器件的耐温性能要求会越来越高，新的耐高温复合材料也会带来钨需求的变化。</w:t>
      </w:r>
    </w:p>
    <w:p w:rsidR="0058782B" w:rsidRPr="00F50B51" w:rsidRDefault="00F80EE7">
      <w:pPr>
        <w:jc w:val="both"/>
      </w:pPr>
      <w:r w:rsidRPr="00F50B51">
        <w:rPr>
          <w:rFonts w:ascii="宋体" w:hAnsi="宋体"/>
          <w:sz w:val="18"/>
        </w:rPr>
        <w:t>上半年海外市场逐步复</w:t>
      </w:r>
      <w:r w:rsidRPr="00F50B51">
        <w:rPr>
          <w:rFonts w:ascii="宋体" w:hAnsi="宋体"/>
          <w:sz w:val="18"/>
        </w:rPr>
        <w:t>苏，钨行业总体需求平稳，钨是</w:t>
      </w:r>
      <w:r w:rsidRPr="00F50B51">
        <w:rPr>
          <w:rFonts w:ascii="宋体" w:hAnsi="宋体"/>
          <w:sz w:val="18"/>
        </w:rPr>
        <w:t>“</w:t>
      </w:r>
      <w:r w:rsidRPr="00F50B51">
        <w:rPr>
          <w:rFonts w:ascii="宋体" w:hAnsi="宋体"/>
          <w:sz w:val="18"/>
        </w:rPr>
        <w:t>工业的牙齿</w:t>
      </w:r>
      <w:r w:rsidRPr="00F50B51">
        <w:rPr>
          <w:rFonts w:ascii="宋体" w:hAnsi="宋体"/>
          <w:sz w:val="18"/>
        </w:rPr>
        <w:t>”</w:t>
      </w:r>
      <w:r w:rsidRPr="00F50B51">
        <w:rPr>
          <w:rFonts w:ascii="宋体" w:hAnsi="宋体"/>
          <w:sz w:val="18"/>
        </w:rPr>
        <w:t>，上半年国内疫情局部区域爆发，对整个制造业均有不同程度的影响，全球疫情若能得到有效缓解，全球制造业复苏，对钨金属的消费会有明显的提升，报告期内，原材料钨精矿、</w:t>
      </w:r>
      <w:r w:rsidRPr="00F50B51">
        <w:rPr>
          <w:rFonts w:ascii="宋体" w:hAnsi="宋体"/>
          <w:sz w:val="18"/>
        </w:rPr>
        <w:t>APT</w:t>
      </w:r>
      <w:r w:rsidRPr="00F50B51">
        <w:rPr>
          <w:rFonts w:ascii="宋体" w:hAnsi="宋体"/>
          <w:sz w:val="18"/>
        </w:rPr>
        <w:t>价格整体稳中略降，相较与其他资源品价格钨整体波动幅度不大，坚挺运行。</w:t>
      </w:r>
    </w:p>
    <w:p w:rsidR="0058782B" w:rsidRPr="00F50B51" w:rsidRDefault="00F80EE7">
      <w:pPr>
        <w:jc w:val="both"/>
      </w:pPr>
      <w:r w:rsidRPr="00F50B51">
        <w:rPr>
          <w:noProof/>
        </w:rPr>
        <w:drawing>
          <wp:inline distT="0" distB="0" distL="0" distR="0">
            <wp:extent cx="5105400" cy="3048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rcRect/>
                    <a:stretch>
                      <a:fillRect/>
                    </a:stretch>
                  </pic:blipFill>
                  <pic:spPr>
                    <a:xfrm>
                      <a:off x="0" y="0"/>
                      <a:ext cx="5105400" cy="3048000"/>
                    </a:xfrm>
                    <a:prstGeom prst="rect">
                      <a:avLst/>
                    </a:prstGeom>
                  </pic:spPr>
                </pic:pic>
              </a:graphicData>
            </a:graphic>
          </wp:inline>
        </w:drawing>
      </w:r>
    </w:p>
    <w:p w:rsidR="0058782B" w:rsidRPr="00F50B51" w:rsidRDefault="00F80EE7">
      <w:pPr>
        <w:spacing w:before="119"/>
        <w:ind w:firstLine="420"/>
        <w:jc w:val="both"/>
      </w:pPr>
      <w:r w:rsidRPr="00F50B51">
        <w:rPr>
          <w:rFonts w:ascii="宋体" w:hAnsi="宋体"/>
          <w:sz w:val="18"/>
        </w:rPr>
        <w:t>报告期内，受国内局部疫情、全球经济增长放缓等影响，需求端预期减弱，后端采购和消费意愿并不积极，碳化钨粉、硬质合金整体交投依然谨慎，保持按需采购的状态，钨原材料端受环保、安全及全球能源紧张的压力，一直价格坚挺运行，报告期内部分产品存在</w:t>
      </w:r>
      <w:r w:rsidRPr="00F50B51">
        <w:rPr>
          <w:rFonts w:ascii="宋体" w:hAnsi="宋体"/>
          <w:sz w:val="18"/>
        </w:rPr>
        <w:t>“</w:t>
      </w:r>
      <w:r w:rsidRPr="00F50B51">
        <w:rPr>
          <w:rFonts w:ascii="宋体" w:hAnsi="宋体"/>
          <w:sz w:val="18"/>
        </w:rPr>
        <w:t>倒挂</w:t>
      </w:r>
      <w:r w:rsidRPr="00F50B51">
        <w:rPr>
          <w:rFonts w:ascii="宋体" w:hAnsi="宋体"/>
          <w:sz w:val="18"/>
        </w:rPr>
        <w:t>”</w:t>
      </w:r>
      <w:r w:rsidRPr="00F50B51">
        <w:rPr>
          <w:rFonts w:ascii="宋体" w:hAnsi="宋体"/>
          <w:sz w:val="18"/>
        </w:rPr>
        <w:t>。上半年公司继续巩固主营业务产品市场，进一步加强市场营销、研发创新、生产管理、质量控制等各方面工作，主营产品碳化钨粉、硬质合金收入分别增长</w:t>
      </w:r>
      <w:r w:rsidRPr="00F50B51">
        <w:rPr>
          <w:rFonts w:ascii="宋体" w:hAnsi="宋体"/>
          <w:sz w:val="18"/>
        </w:rPr>
        <w:t>6.64%</w:t>
      </w:r>
      <w:r w:rsidRPr="00F50B51">
        <w:rPr>
          <w:rFonts w:ascii="宋体" w:hAnsi="宋体"/>
          <w:sz w:val="18"/>
        </w:rPr>
        <w:t>，</w:t>
      </w:r>
      <w:r w:rsidRPr="00F50B51">
        <w:rPr>
          <w:rFonts w:ascii="宋体" w:hAnsi="宋体"/>
          <w:sz w:val="18"/>
        </w:rPr>
        <w:t>29.87%</w:t>
      </w:r>
      <w:r w:rsidRPr="00F50B51">
        <w:rPr>
          <w:rFonts w:ascii="宋体" w:hAnsi="宋体"/>
          <w:sz w:val="18"/>
        </w:rPr>
        <w:t>。同时，针对新的钨制</w:t>
      </w:r>
      <w:r w:rsidRPr="00F50B51">
        <w:rPr>
          <w:rFonts w:ascii="宋体" w:hAnsi="宋体"/>
          <w:sz w:val="18"/>
        </w:rPr>
        <w:lastRenderedPageBreak/>
        <w:t>品市场应用端变化，管理层积极开拓，主动求变，在光伏钨丝方向进行研发拓展，力争尽早推进产业化进程。</w:t>
      </w:r>
    </w:p>
    <w:p w:rsidR="0058782B" w:rsidRPr="00F50B51" w:rsidRDefault="00F80EE7">
      <w:pPr>
        <w:spacing w:before="119"/>
        <w:ind w:firstLine="420"/>
        <w:jc w:val="both"/>
      </w:pPr>
      <w:r w:rsidRPr="00F50B51">
        <w:rPr>
          <w:rFonts w:ascii="宋体" w:hAnsi="宋体"/>
          <w:sz w:val="18"/>
        </w:rPr>
        <w:t>江西区域整体生产有序开展，旗下大余隆鑫泰矿业上半年通过对矿区进行一系列改进工作，公司报江西省应急管理厅《大余隆鑫泰矿业有限公司铁苍寨矿区铁苍寨工区地下开采改扩建工程安全设施设计变更》已通过评审，公司正在加快落实相关意见，严格</w:t>
      </w:r>
      <w:r w:rsidRPr="00F50B51">
        <w:rPr>
          <w:rFonts w:ascii="宋体" w:hAnsi="宋体"/>
          <w:sz w:val="18"/>
        </w:rPr>
        <w:t>按照批准的设计施工。</w:t>
      </w:r>
    </w:p>
    <w:p w:rsidR="0058782B" w:rsidRPr="00F50B51" w:rsidRDefault="00F80EE7">
      <w:pPr>
        <w:spacing w:before="119"/>
        <w:ind w:firstLine="420"/>
        <w:jc w:val="both"/>
      </w:pPr>
      <w:r w:rsidRPr="00F50B51">
        <w:rPr>
          <w:rFonts w:ascii="宋体" w:hAnsi="宋体"/>
          <w:sz w:val="18"/>
        </w:rPr>
        <w:t>上半年公司设立博士工作站，通过依托公司已有的省、市级工程中心和省级企业技术中心的创新平台，结合科研院所和高校的研发人才优势和研发优势，规划落实科研创新、产学研、技术培训交流等创新工作，努力打造技术实力雄厚、具有行业影响力的专业性创新团队。</w:t>
      </w:r>
      <w:r w:rsidRPr="00F50B51">
        <w:rPr>
          <w:rFonts w:ascii="宋体" w:hAnsi="宋体"/>
          <w:sz w:val="18"/>
        </w:rPr>
        <w:t xml:space="preserve"> </w:t>
      </w:r>
      <w:r w:rsidRPr="00F50B51">
        <w:rPr>
          <w:rFonts w:ascii="宋体" w:hAnsi="宋体"/>
          <w:sz w:val="18"/>
        </w:rPr>
        <w:t>目前武汉理工大学材料复合新技术国家重点实验室的两位教授和和河南工业大学等多位材料专业的博士已受聘进站开展工作，共同开展技术创新工作，围绕钨行业发展应用新动向，针对公司发展中的关键性、基础性和共性技术问题进行系统研究开发，提高公司技术创新的综合实力；实</w:t>
      </w:r>
      <w:r w:rsidRPr="00F50B51">
        <w:rPr>
          <w:rFonts w:ascii="宋体" w:hAnsi="宋体"/>
          <w:sz w:val="18"/>
        </w:rPr>
        <w:t>施科研创新课题、成果转化和产业化，努力突破在技术创新过程出现的瓶颈，强化科技成果向生产转化环节落实，缩短成果转化周期，提升现有科技成果的成熟性、综合性和产业化水平，开发具市场竞争优势的高附加值创新产品，助力公司的持续发展。</w:t>
      </w:r>
    </w:p>
    <w:p w:rsidR="0058782B" w:rsidRPr="00F50B51" w:rsidRDefault="00F80EE7">
      <w:pPr>
        <w:spacing w:before="119"/>
        <w:ind w:firstLine="420"/>
        <w:jc w:val="both"/>
      </w:pPr>
      <w:r w:rsidRPr="00F50B51">
        <w:rPr>
          <w:rFonts w:ascii="宋体" w:hAnsi="宋体"/>
          <w:sz w:val="18"/>
        </w:rPr>
        <w:t>受近年市场各方面不确定性因素，以及全球新冠肺炎疫情的影响，公司在结合当前行业发展状况后，于</w:t>
      </w:r>
      <w:r w:rsidRPr="00F50B51">
        <w:rPr>
          <w:rFonts w:ascii="宋体" w:hAnsi="宋体"/>
          <w:sz w:val="18"/>
        </w:rPr>
        <w:t>2022</w:t>
      </w:r>
      <w:r w:rsidRPr="00F50B51">
        <w:rPr>
          <w:rFonts w:ascii="宋体" w:hAnsi="宋体"/>
          <w:sz w:val="18"/>
        </w:rPr>
        <w:t>年</w:t>
      </w:r>
      <w:r w:rsidRPr="00F50B51">
        <w:rPr>
          <w:rFonts w:ascii="宋体" w:hAnsi="宋体"/>
          <w:sz w:val="18"/>
        </w:rPr>
        <w:t>4</w:t>
      </w:r>
      <w:r w:rsidRPr="00F50B51">
        <w:rPr>
          <w:rFonts w:ascii="宋体" w:hAnsi="宋体"/>
          <w:sz w:val="18"/>
        </w:rPr>
        <w:t>月</w:t>
      </w:r>
      <w:r w:rsidRPr="00F50B51">
        <w:rPr>
          <w:rFonts w:ascii="宋体" w:hAnsi="宋体"/>
          <w:sz w:val="18"/>
        </w:rPr>
        <w:t>29</w:t>
      </w:r>
      <w:r w:rsidRPr="00F50B51">
        <w:rPr>
          <w:rFonts w:ascii="宋体" w:hAnsi="宋体"/>
          <w:sz w:val="18"/>
        </w:rPr>
        <w:t>日，召开了第四届董事会</w:t>
      </w:r>
      <w:r w:rsidRPr="00F50B51">
        <w:rPr>
          <w:rFonts w:ascii="宋体" w:hAnsi="宋体"/>
          <w:sz w:val="18"/>
        </w:rPr>
        <w:t xml:space="preserve"> 2022 </w:t>
      </w:r>
      <w:r w:rsidRPr="00F50B51">
        <w:rPr>
          <w:rFonts w:ascii="宋体" w:hAnsi="宋体"/>
          <w:sz w:val="18"/>
        </w:rPr>
        <w:t>年第一次临时会议、第四届监事会第八次会议，审议通过了：（</w:t>
      </w:r>
      <w:r w:rsidRPr="00F50B51">
        <w:rPr>
          <w:rFonts w:ascii="宋体" w:hAnsi="宋体"/>
          <w:sz w:val="18"/>
        </w:rPr>
        <w:t>1</w:t>
      </w:r>
      <w:r w:rsidRPr="00F50B51">
        <w:rPr>
          <w:rFonts w:ascii="宋体" w:hAnsi="宋体"/>
          <w:sz w:val="18"/>
        </w:rPr>
        <w:t>）《关于变更部分募集资金用途并永久补充流动资金的议案》，同意终止公司可转债募投项目</w:t>
      </w:r>
      <w:r w:rsidRPr="00F50B51">
        <w:rPr>
          <w:rFonts w:ascii="宋体" w:hAnsi="宋体"/>
          <w:sz w:val="18"/>
        </w:rPr>
        <w:t>“</w:t>
      </w:r>
      <w:r w:rsidRPr="00F50B51">
        <w:rPr>
          <w:rFonts w:ascii="宋体" w:hAnsi="宋体"/>
          <w:sz w:val="18"/>
        </w:rPr>
        <w:t>年产</w:t>
      </w:r>
      <w:r w:rsidRPr="00F50B51">
        <w:rPr>
          <w:rFonts w:ascii="宋体" w:hAnsi="宋体"/>
          <w:sz w:val="18"/>
        </w:rPr>
        <w:t xml:space="preserve"> 600 </w:t>
      </w:r>
      <w:r w:rsidRPr="00F50B51">
        <w:rPr>
          <w:rFonts w:ascii="宋体" w:hAnsi="宋体"/>
          <w:sz w:val="18"/>
        </w:rPr>
        <w:t>万支精密特种硬质合金切削工具智能制造项目</w:t>
      </w:r>
      <w:r w:rsidRPr="00F50B51">
        <w:rPr>
          <w:rFonts w:ascii="宋体" w:hAnsi="宋体"/>
          <w:sz w:val="18"/>
        </w:rPr>
        <w:t>”</w:t>
      </w:r>
      <w:r w:rsidRPr="00F50B51">
        <w:rPr>
          <w:rFonts w:ascii="宋体" w:hAnsi="宋体"/>
          <w:sz w:val="18"/>
        </w:rPr>
        <w:t>并将剩余募集资金</w:t>
      </w:r>
      <w:r w:rsidRPr="00F50B51">
        <w:rPr>
          <w:rFonts w:ascii="宋体" w:hAnsi="宋体"/>
          <w:sz w:val="18"/>
        </w:rPr>
        <w:t xml:space="preserve"> 14,789.28 </w:t>
      </w:r>
      <w:r w:rsidRPr="00F50B51">
        <w:rPr>
          <w:rFonts w:ascii="宋体" w:hAnsi="宋体"/>
          <w:sz w:val="18"/>
        </w:rPr>
        <w:t>万元（含利息收入，具体金额以资金转出当日银行结息余额为准）全部永久性补充流动资金，用于公司日常经营活动。此项议案已于</w:t>
      </w:r>
      <w:r w:rsidRPr="00F50B51">
        <w:rPr>
          <w:rFonts w:ascii="宋体" w:hAnsi="宋体"/>
          <w:sz w:val="18"/>
        </w:rPr>
        <w:t>2022</w:t>
      </w:r>
      <w:r w:rsidRPr="00F50B51">
        <w:rPr>
          <w:rFonts w:ascii="宋体" w:hAnsi="宋体"/>
          <w:sz w:val="18"/>
        </w:rPr>
        <w:t>年</w:t>
      </w:r>
      <w:r w:rsidRPr="00F50B51">
        <w:rPr>
          <w:rFonts w:ascii="宋体" w:hAnsi="宋体"/>
          <w:sz w:val="18"/>
        </w:rPr>
        <w:t>5</w:t>
      </w:r>
      <w:r w:rsidRPr="00F50B51">
        <w:rPr>
          <w:rFonts w:ascii="宋体" w:hAnsi="宋体"/>
          <w:sz w:val="18"/>
        </w:rPr>
        <w:t>月</w:t>
      </w:r>
      <w:r w:rsidRPr="00F50B51">
        <w:rPr>
          <w:rFonts w:ascii="宋体" w:hAnsi="宋体"/>
          <w:sz w:val="18"/>
        </w:rPr>
        <w:t>20</w:t>
      </w:r>
      <w:r w:rsidRPr="00F50B51">
        <w:rPr>
          <w:rFonts w:ascii="宋体" w:hAnsi="宋体"/>
          <w:sz w:val="18"/>
        </w:rPr>
        <w:t>日，由</w:t>
      </w:r>
      <w:r w:rsidRPr="00F50B51">
        <w:rPr>
          <w:rFonts w:ascii="宋体" w:hAnsi="宋体"/>
          <w:sz w:val="18"/>
        </w:rPr>
        <w:t>2021</w:t>
      </w:r>
      <w:r w:rsidRPr="00F50B51">
        <w:rPr>
          <w:rFonts w:ascii="宋体" w:hAnsi="宋体"/>
          <w:sz w:val="18"/>
        </w:rPr>
        <w:t>年度股东大会及</w:t>
      </w:r>
      <w:r w:rsidRPr="00F50B51">
        <w:rPr>
          <w:rFonts w:ascii="宋体" w:hAnsi="宋体"/>
          <w:sz w:val="18"/>
        </w:rPr>
        <w:t>2022</w:t>
      </w:r>
      <w:r w:rsidRPr="00F50B51">
        <w:rPr>
          <w:rFonts w:ascii="宋体" w:hAnsi="宋体"/>
          <w:sz w:val="18"/>
        </w:rPr>
        <w:t>年第一次债券持有人会议审议通过；（</w:t>
      </w:r>
      <w:r w:rsidRPr="00F50B51">
        <w:rPr>
          <w:rFonts w:ascii="宋体" w:hAnsi="宋体"/>
          <w:sz w:val="18"/>
        </w:rPr>
        <w:t>2</w:t>
      </w:r>
      <w:r w:rsidRPr="00F50B51">
        <w:rPr>
          <w:rFonts w:ascii="宋体" w:hAnsi="宋体"/>
          <w:sz w:val="18"/>
        </w:rPr>
        <w:t>）《关于部分募投项目延期的议案》，同意将可转债募投项目</w:t>
      </w:r>
      <w:r w:rsidRPr="00F50B51">
        <w:rPr>
          <w:rFonts w:ascii="宋体" w:hAnsi="宋体"/>
          <w:sz w:val="18"/>
        </w:rPr>
        <w:t>“</w:t>
      </w:r>
      <w:r w:rsidRPr="00F50B51">
        <w:rPr>
          <w:rFonts w:ascii="宋体" w:hAnsi="宋体"/>
          <w:sz w:val="18"/>
        </w:rPr>
        <w:t>年产</w:t>
      </w:r>
      <w:r w:rsidRPr="00F50B51">
        <w:rPr>
          <w:rFonts w:ascii="宋体" w:hAnsi="宋体"/>
          <w:sz w:val="18"/>
        </w:rPr>
        <w:t>800t</w:t>
      </w:r>
      <w:r w:rsidRPr="00F50B51">
        <w:rPr>
          <w:rFonts w:ascii="宋体" w:hAnsi="宋体"/>
          <w:sz w:val="18"/>
        </w:rPr>
        <w:t>特种超硬合金智能化生产项目</w:t>
      </w:r>
      <w:r w:rsidRPr="00F50B51">
        <w:rPr>
          <w:rFonts w:ascii="宋体" w:hAnsi="宋体"/>
          <w:sz w:val="18"/>
        </w:rPr>
        <w:t xml:space="preserve">” </w:t>
      </w:r>
      <w:r w:rsidRPr="00F50B51">
        <w:rPr>
          <w:rFonts w:ascii="宋体" w:hAnsi="宋体"/>
          <w:sz w:val="18"/>
        </w:rPr>
        <w:t>的建设期延长一年，即延长至</w:t>
      </w:r>
      <w:r w:rsidRPr="00F50B51">
        <w:rPr>
          <w:rFonts w:ascii="宋体" w:hAnsi="宋体"/>
          <w:sz w:val="18"/>
        </w:rPr>
        <w:t>2023</w:t>
      </w:r>
      <w:r w:rsidRPr="00F50B51">
        <w:rPr>
          <w:rFonts w:ascii="宋体" w:hAnsi="宋体"/>
          <w:sz w:val="18"/>
        </w:rPr>
        <w:t>年</w:t>
      </w:r>
      <w:r w:rsidRPr="00F50B51">
        <w:rPr>
          <w:rFonts w:ascii="宋体" w:hAnsi="宋体"/>
          <w:sz w:val="18"/>
        </w:rPr>
        <w:t>2</w:t>
      </w:r>
      <w:r w:rsidRPr="00F50B51">
        <w:rPr>
          <w:rFonts w:ascii="宋体" w:hAnsi="宋体"/>
          <w:sz w:val="18"/>
        </w:rPr>
        <w:t>月。</w:t>
      </w:r>
    </w:p>
    <w:p w:rsidR="0058782B" w:rsidRPr="00F50B51" w:rsidRDefault="00F80EE7">
      <w:pPr>
        <w:spacing w:before="119"/>
        <w:ind w:firstLineChars="200" w:firstLine="360"/>
      </w:pPr>
      <w:r w:rsidRPr="00F50B51">
        <w:rPr>
          <w:rFonts w:ascii="宋体" w:hAnsi="宋体"/>
          <w:sz w:val="18"/>
        </w:rPr>
        <w:t>截至</w:t>
      </w:r>
      <w:r w:rsidRPr="00F50B51">
        <w:rPr>
          <w:rFonts w:ascii="宋体" w:hAnsi="宋体"/>
          <w:sz w:val="18"/>
        </w:rPr>
        <w:t>2022</w:t>
      </w:r>
      <w:r w:rsidRPr="00F50B51">
        <w:rPr>
          <w:rFonts w:ascii="宋体" w:hAnsi="宋体"/>
          <w:sz w:val="18"/>
        </w:rPr>
        <w:t>年</w:t>
      </w:r>
      <w:r w:rsidRPr="00F50B51">
        <w:rPr>
          <w:rFonts w:ascii="宋体" w:hAnsi="宋体"/>
          <w:sz w:val="18"/>
        </w:rPr>
        <w:t>6</w:t>
      </w:r>
      <w:r w:rsidRPr="00F50B51">
        <w:rPr>
          <w:rFonts w:ascii="宋体" w:hAnsi="宋体"/>
          <w:sz w:val="18"/>
        </w:rPr>
        <w:t>月</w:t>
      </w:r>
      <w:r w:rsidRPr="00F50B51">
        <w:rPr>
          <w:rFonts w:ascii="宋体" w:hAnsi="宋体"/>
          <w:sz w:val="18"/>
        </w:rPr>
        <w:t>30</w:t>
      </w:r>
      <w:r w:rsidRPr="00F50B51">
        <w:rPr>
          <w:rFonts w:ascii="宋体" w:hAnsi="宋体"/>
          <w:sz w:val="18"/>
        </w:rPr>
        <w:t>日止，公司永久性补充流动资金金额</w:t>
      </w:r>
      <w:r w:rsidRPr="00F50B51">
        <w:rPr>
          <w:rFonts w:ascii="宋体" w:hAnsi="宋体"/>
          <w:sz w:val="18"/>
        </w:rPr>
        <w:t>148,009,97</w:t>
      </w:r>
      <w:r w:rsidRPr="00F50B51">
        <w:rPr>
          <w:rFonts w:ascii="宋体" w:hAnsi="宋体"/>
          <w:sz w:val="18"/>
        </w:rPr>
        <w:t>7.21</w:t>
      </w:r>
      <w:r w:rsidRPr="00F50B51">
        <w:rPr>
          <w:rFonts w:ascii="宋体" w:hAnsi="宋体"/>
          <w:sz w:val="18"/>
        </w:rPr>
        <w:t>元。尚未使用的募集资金人民币</w:t>
      </w:r>
      <w:r w:rsidRPr="00F50B51">
        <w:rPr>
          <w:rFonts w:ascii="宋体" w:hAnsi="宋体"/>
          <w:sz w:val="18"/>
        </w:rPr>
        <w:t>33,411,591.81</w:t>
      </w:r>
      <w:r w:rsidRPr="00F50B51">
        <w:rPr>
          <w:rFonts w:ascii="宋体" w:hAnsi="宋体"/>
          <w:sz w:val="18"/>
        </w:rPr>
        <w:t>元，占公司公开发行可转换公司债券募集资金净额的</w:t>
      </w:r>
      <w:r w:rsidRPr="00F50B51">
        <w:rPr>
          <w:rFonts w:ascii="宋体" w:hAnsi="宋体"/>
          <w:sz w:val="18"/>
        </w:rPr>
        <w:t>11.51%</w:t>
      </w:r>
      <w:r w:rsidRPr="00F50B51">
        <w:rPr>
          <w:rFonts w:ascii="宋体" w:hAnsi="宋体"/>
          <w:sz w:val="18"/>
        </w:rPr>
        <w:t>，尚未使用的募集资金后续将继续用于募集资金投资项目建设。截至</w:t>
      </w:r>
      <w:r w:rsidRPr="00F50B51">
        <w:rPr>
          <w:rFonts w:ascii="Times New Roman" w:hAnsi="Times New Roman"/>
          <w:sz w:val="18"/>
        </w:rPr>
        <w:t>2022</w:t>
      </w:r>
      <w:r w:rsidRPr="00F50B51">
        <w:rPr>
          <w:rFonts w:ascii="宋体" w:hAnsi="宋体"/>
          <w:sz w:val="18"/>
        </w:rPr>
        <w:t>年</w:t>
      </w:r>
      <w:r w:rsidRPr="00F50B51">
        <w:rPr>
          <w:rFonts w:ascii="Times New Roman" w:hAnsi="Times New Roman"/>
          <w:sz w:val="18"/>
        </w:rPr>
        <w:t>6</w:t>
      </w:r>
      <w:r w:rsidRPr="00F50B51">
        <w:rPr>
          <w:rFonts w:ascii="宋体" w:hAnsi="宋体"/>
          <w:sz w:val="18"/>
        </w:rPr>
        <w:t>月</w:t>
      </w:r>
      <w:r w:rsidRPr="00F50B51">
        <w:rPr>
          <w:rFonts w:ascii="Times New Roman" w:hAnsi="Times New Roman"/>
          <w:sz w:val="18"/>
        </w:rPr>
        <w:t>30</w:t>
      </w:r>
      <w:r w:rsidRPr="00F50B51">
        <w:rPr>
          <w:rFonts w:ascii="宋体" w:hAnsi="宋体"/>
          <w:sz w:val="18"/>
        </w:rPr>
        <w:t>日，翔鹭转债剩余金额为</w:t>
      </w:r>
      <w:r w:rsidRPr="00F50B51">
        <w:rPr>
          <w:rFonts w:ascii="Times New Roman" w:hAnsi="Times New Roman"/>
          <w:sz w:val="18"/>
        </w:rPr>
        <w:t>301,789,500</w:t>
      </w:r>
      <w:r w:rsidRPr="00F50B51">
        <w:rPr>
          <w:rFonts w:ascii="宋体" w:hAnsi="宋体"/>
          <w:sz w:val="18"/>
        </w:rPr>
        <w:t>元（</w:t>
      </w:r>
      <w:r w:rsidRPr="00F50B51">
        <w:rPr>
          <w:rFonts w:ascii="Times New Roman" w:hAnsi="Times New Roman"/>
          <w:sz w:val="18"/>
        </w:rPr>
        <w:t>3,017,895</w:t>
      </w:r>
      <w:r w:rsidRPr="00F50B51">
        <w:rPr>
          <w:rFonts w:ascii="宋体" w:hAnsi="宋体"/>
          <w:sz w:val="18"/>
        </w:rPr>
        <w:t>张）。</w:t>
      </w:r>
    </w:p>
    <w:p w:rsidR="0058782B" w:rsidRPr="00F50B51" w:rsidRDefault="00F80EE7">
      <w:pPr>
        <w:spacing w:before="119"/>
      </w:pPr>
      <w:r w:rsidRPr="00F50B51">
        <w:rPr>
          <w:rFonts w:ascii="Times New Roman" w:hAnsi="Times New Roman"/>
          <w:sz w:val="18"/>
        </w:rPr>
        <w:t>2</w:t>
      </w:r>
      <w:r w:rsidRPr="00F50B51">
        <w:rPr>
          <w:rFonts w:ascii="宋体" w:hAnsi="宋体"/>
          <w:sz w:val="18"/>
        </w:rPr>
        <w:t>、主要产品及其用途</w:t>
      </w:r>
    </w:p>
    <w:p w:rsidR="0058782B" w:rsidRPr="00F50B51" w:rsidRDefault="00F80EE7">
      <w:pPr>
        <w:spacing w:before="119"/>
        <w:ind w:firstLineChars="200" w:firstLine="360"/>
      </w:pPr>
      <w:r w:rsidRPr="00F50B51">
        <w:rPr>
          <w:rFonts w:ascii="宋体" w:hAnsi="宋体"/>
          <w:sz w:val="18"/>
        </w:rPr>
        <w:t>公司通过多年的发展，形成了从</w:t>
      </w:r>
      <w:r w:rsidRPr="00F50B51">
        <w:rPr>
          <w:rFonts w:ascii="Times New Roman" w:hAnsi="Times New Roman"/>
          <w:sz w:val="18"/>
        </w:rPr>
        <w:t>APT</w:t>
      </w:r>
      <w:r w:rsidRPr="00F50B51">
        <w:rPr>
          <w:rFonts w:ascii="宋体" w:hAnsi="宋体"/>
          <w:sz w:val="18"/>
        </w:rPr>
        <w:t>到硬质合金的产品体系。公司的主要产品为氧化钨（包括黄色氧化钨、蓝色氧化钨、紫色氧化钨等）、钨粉，碳化钨粉、钨合金粉及钨硬质合金等深加工产品。</w:t>
      </w:r>
    </w:p>
    <w:p w:rsidR="0058782B" w:rsidRPr="00F50B51" w:rsidRDefault="00F80EE7">
      <w:pPr>
        <w:spacing w:before="40" w:after="40"/>
        <w:ind w:firstLineChars="200" w:firstLine="360"/>
        <w:jc w:val="both"/>
      </w:pPr>
      <w:r w:rsidRPr="00F50B51">
        <w:rPr>
          <w:rFonts w:ascii="宋体" w:hAnsi="宋体"/>
          <w:sz w:val="18"/>
        </w:rPr>
        <w:t>公司产品结构在产业链中的位置如下图所示：</w:t>
      </w:r>
    </w:p>
    <w:p w:rsidR="0058782B" w:rsidRPr="00F50B51" w:rsidRDefault="00F80EE7">
      <w:r w:rsidRPr="00F50B51">
        <w:rPr>
          <w:noProof/>
        </w:rPr>
        <w:drawing>
          <wp:inline distT="0" distB="0" distL="0" distR="0">
            <wp:extent cx="5267325" cy="13335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srcRect/>
                    <a:stretch>
                      <a:fillRect/>
                    </a:stretch>
                  </pic:blipFill>
                  <pic:spPr>
                    <a:xfrm>
                      <a:off x="0" y="0"/>
                      <a:ext cx="5267325" cy="1333500"/>
                    </a:xfrm>
                    <a:prstGeom prst="rect">
                      <a:avLst/>
                    </a:prstGeom>
                  </pic:spPr>
                </pic:pic>
              </a:graphicData>
            </a:graphic>
          </wp:inline>
        </w:drawing>
      </w:r>
    </w:p>
    <w:p w:rsidR="0058782B" w:rsidRPr="00F50B51" w:rsidRDefault="00F80EE7">
      <w:pPr>
        <w:spacing w:before="40" w:after="40"/>
        <w:jc w:val="both"/>
      </w:pPr>
      <w:r w:rsidRPr="00F50B51">
        <w:rPr>
          <w:rFonts w:ascii="宋体" w:hAnsi="宋体"/>
          <w:sz w:val="18"/>
        </w:rPr>
        <w:t>注：红色线框内为公司目前所生产的产品，其中碳化钨粉为公司主要收入来源。</w:t>
      </w:r>
    </w:p>
    <w:tbl>
      <w:tblPr>
        <w:tblStyle w:val="a8"/>
        <w:tblW w:w="0" w:type="auto"/>
        <w:tblInd w:w="0" w:type="dxa"/>
        <w:tblCellMar>
          <w:left w:w="0" w:type="dxa"/>
          <w:right w:w="0" w:type="dxa"/>
        </w:tblCellMar>
        <w:tblLook w:val="04A0"/>
      </w:tblPr>
      <w:tblGrid>
        <w:gridCol w:w="1446"/>
        <w:gridCol w:w="3104"/>
        <w:gridCol w:w="3972"/>
      </w:tblGrid>
      <w:tr w:rsidR="0058782B" w:rsidRPr="00F50B51">
        <w:tc>
          <w:tcPr>
            <w:tcW w:w="144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center"/>
            </w:pPr>
            <w:r w:rsidRPr="00F50B51">
              <w:rPr>
                <w:rFonts w:ascii="宋体" w:hAnsi="宋体"/>
                <w:sz w:val="18"/>
              </w:rPr>
              <w:t>钨精矿</w:t>
            </w:r>
          </w:p>
        </w:tc>
        <w:tc>
          <w:tcPr>
            <w:tcW w:w="3104"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noProof/>
              </w:rPr>
              <w:drawing>
                <wp:inline distT="0" distB="0" distL="0" distR="0">
                  <wp:extent cx="1762125" cy="1447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srcRect/>
                          <a:stretch>
                            <a:fillRect/>
                          </a:stretch>
                        </pic:blipFill>
                        <pic:spPr>
                          <a:xfrm>
                            <a:off x="0" y="0"/>
                            <a:ext cx="1762125" cy="1447800"/>
                          </a:xfrm>
                          <a:prstGeom prst="rect">
                            <a:avLst/>
                          </a:prstGeom>
                        </pic:spPr>
                      </pic:pic>
                    </a:graphicData>
                  </a:graphic>
                </wp:inline>
              </w:drawing>
            </w:r>
          </w:p>
        </w:tc>
        <w:tc>
          <w:tcPr>
            <w:tcW w:w="3972"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rFonts w:ascii="宋体" w:hAnsi="宋体"/>
                <w:sz w:val="18"/>
              </w:rPr>
              <w:t>钨精矿的选矿工艺一般是由钨矿石</w:t>
            </w:r>
            <w:r w:rsidRPr="00F50B51">
              <w:rPr>
                <w:rFonts w:ascii="Times New Roman" w:hAnsi="Times New Roman"/>
                <w:sz w:val="18"/>
              </w:rPr>
              <w:t>(</w:t>
            </w:r>
            <w:r w:rsidRPr="00F50B51">
              <w:rPr>
                <w:rFonts w:ascii="宋体" w:hAnsi="宋体"/>
                <w:sz w:val="18"/>
              </w:rPr>
              <w:t>黑钨矿或白钨矿</w:t>
            </w:r>
            <w:r w:rsidRPr="00F50B51">
              <w:rPr>
                <w:rFonts w:ascii="Times New Roman" w:hAnsi="Times New Roman"/>
                <w:sz w:val="18"/>
              </w:rPr>
              <w:t>)</w:t>
            </w:r>
            <w:r w:rsidRPr="00F50B51">
              <w:rPr>
                <w:rFonts w:ascii="宋体" w:hAnsi="宋体"/>
                <w:sz w:val="18"/>
              </w:rPr>
              <w:t>经破碎、球磨、重选</w:t>
            </w:r>
            <w:r w:rsidRPr="00F50B51">
              <w:rPr>
                <w:rFonts w:ascii="Times New Roman" w:hAnsi="Times New Roman"/>
                <w:sz w:val="18"/>
              </w:rPr>
              <w:t>(</w:t>
            </w:r>
            <w:r w:rsidRPr="00F50B51">
              <w:rPr>
                <w:rFonts w:ascii="宋体" w:hAnsi="宋体"/>
                <w:sz w:val="18"/>
              </w:rPr>
              <w:t>主要有摇床、跳汰</w:t>
            </w:r>
            <w:r w:rsidRPr="00F50B51">
              <w:rPr>
                <w:rFonts w:ascii="Times New Roman" w:hAnsi="Times New Roman"/>
                <w:sz w:val="18"/>
              </w:rPr>
              <w:t>)</w:t>
            </w:r>
            <w:r w:rsidRPr="00F50B51">
              <w:rPr>
                <w:rFonts w:ascii="宋体" w:hAnsi="宋体"/>
                <w:sz w:val="18"/>
              </w:rPr>
              <w:t>、浮选、电选、磁选等工艺过程</w:t>
            </w:r>
            <w:r w:rsidRPr="00F50B51">
              <w:rPr>
                <w:rFonts w:ascii="Times New Roman" w:hAnsi="Times New Roman"/>
                <w:sz w:val="18"/>
              </w:rPr>
              <w:t>,</w:t>
            </w:r>
            <w:r w:rsidRPr="00F50B51">
              <w:rPr>
                <w:rFonts w:ascii="宋体" w:hAnsi="宋体"/>
                <w:sz w:val="18"/>
              </w:rPr>
              <w:t>生产出达到国家标准的黑钨精矿或白钨精矿。它是生产钨铁、钨酸钠、仲钨酸铵</w:t>
            </w:r>
            <w:r w:rsidRPr="00F50B51">
              <w:rPr>
                <w:rFonts w:ascii="Times New Roman" w:hAnsi="Times New Roman"/>
                <w:sz w:val="18"/>
              </w:rPr>
              <w:t>(APT)</w:t>
            </w:r>
            <w:r w:rsidRPr="00F50B51">
              <w:rPr>
                <w:rFonts w:ascii="宋体" w:hAnsi="宋体"/>
                <w:sz w:val="18"/>
              </w:rPr>
              <w:t>、偏钨酸铵</w:t>
            </w:r>
            <w:r w:rsidRPr="00F50B51">
              <w:rPr>
                <w:rFonts w:ascii="Times New Roman" w:hAnsi="Times New Roman"/>
                <w:sz w:val="18"/>
              </w:rPr>
              <w:t>(AMT)</w:t>
            </w:r>
            <w:r w:rsidRPr="00F50B51">
              <w:rPr>
                <w:rFonts w:ascii="宋体" w:hAnsi="宋体"/>
                <w:sz w:val="18"/>
              </w:rPr>
              <w:t>等钨化合物的主要原料</w:t>
            </w:r>
            <w:r w:rsidRPr="00F50B51">
              <w:rPr>
                <w:rFonts w:ascii="Times New Roman" w:hAnsi="Times New Roman"/>
                <w:sz w:val="18"/>
              </w:rPr>
              <w:t>,</w:t>
            </w:r>
            <w:r w:rsidRPr="00F50B51">
              <w:rPr>
                <w:rFonts w:ascii="宋体" w:hAnsi="宋体"/>
                <w:sz w:val="18"/>
              </w:rPr>
              <w:t>其下游产品主要有三氧化钨、蓝色氧化钨、钨粉、碳化钨、硬质合金、钨钢、钨条、钨丝等。</w:t>
            </w:r>
          </w:p>
        </w:tc>
      </w:tr>
      <w:tr w:rsidR="0058782B" w:rsidRPr="00F50B51">
        <w:tc>
          <w:tcPr>
            <w:tcW w:w="144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center"/>
            </w:pPr>
            <w:r w:rsidRPr="00F50B51">
              <w:rPr>
                <w:rFonts w:ascii="Times New Roman" w:hAnsi="Times New Roman"/>
                <w:sz w:val="18"/>
              </w:rPr>
              <w:lastRenderedPageBreak/>
              <w:t>APT</w:t>
            </w:r>
          </w:p>
        </w:tc>
        <w:tc>
          <w:tcPr>
            <w:tcW w:w="3104" w:type="dxa"/>
            <w:tcBorders>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noProof/>
              </w:rPr>
              <w:drawing>
                <wp:inline distT="0" distB="0" distL="0" distR="0">
                  <wp:extent cx="1762125" cy="10763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srcRect/>
                          <a:stretch>
                            <a:fillRect/>
                          </a:stretch>
                        </pic:blipFill>
                        <pic:spPr>
                          <a:xfrm>
                            <a:off x="0" y="0"/>
                            <a:ext cx="1762125" cy="1076325"/>
                          </a:xfrm>
                          <a:prstGeom prst="rect">
                            <a:avLst/>
                          </a:prstGeom>
                        </pic:spPr>
                      </pic:pic>
                    </a:graphicData>
                  </a:graphic>
                </wp:inline>
              </w:drawing>
            </w:r>
          </w:p>
        </w:tc>
        <w:tc>
          <w:tcPr>
            <w:tcW w:w="3972" w:type="dxa"/>
            <w:tcBorders>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rFonts w:ascii="宋体" w:hAnsi="宋体"/>
                <w:sz w:val="18"/>
              </w:rPr>
              <w:t>属钨工业的中间产品，由钨精矿经压煮、离子交换、蒸发结晶而制得，主要用于制造氧化钨、偏钨酸铵及其他钨化合物，也可以用于石油化工行业作添加剂。</w:t>
            </w:r>
          </w:p>
        </w:tc>
      </w:tr>
      <w:tr w:rsidR="0058782B" w:rsidRPr="00F50B51">
        <w:tc>
          <w:tcPr>
            <w:tcW w:w="144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center"/>
            </w:pPr>
            <w:r w:rsidRPr="00F50B51">
              <w:rPr>
                <w:rFonts w:ascii="宋体" w:hAnsi="宋体"/>
                <w:sz w:val="18"/>
              </w:rPr>
              <w:t>氧化钨</w:t>
            </w:r>
          </w:p>
        </w:tc>
        <w:tc>
          <w:tcPr>
            <w:tcW w:w="3104" w:type="dxa"/>
            <w:tcBorders>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noProof/>
              </w:rPr>
              <w:drawing>
                <wp:inline distT="0" distB="0" distL="0" distR="0">
                  <wp:extent cx="1781175" cy="10185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srcRect/>
                          <a:stretch>
                            <a:fillRect/>
                          </a:stretch>
                        </pic:blipFill>
                        <pic:spPr>
                          <a:xfrm>
                            <a:off x="0" y="0"/>
                            <a:ext cx="1781175" cy="1019174"/>
                          </a:xfrm>
                          <a:prstGeom prst="rect">
                            <a:avLst/>
                          </a:prstGeom>
                        </pic:spPr>
                      </pic:pic>
                    </a:graphicData>
                  </a:graphic>
                </wp:inline>
              </w:drawing>
            </w:r>
          </w:p>
        </w:tc>
        <w:tc>
          <w:tcPr>
            <w:tcW w:w="3972" w:type="dxa"/>
            <w:tcBorders>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rFonts w:ascii="宋体" w:hAnsi="宋体"/>
                <w:sz w:val="18"/>
              </w:rPr>
              <w:t>属钨工业的中间产品，由</w:t>
            </w:r>
            <w:r w:rsidRPr="00F50B51">
              <w:rPr>
                <w:rFonts w:ascii="Times New Roman" w:hAnsi="Times New Roman"/>
                <w:sz w:val="18"/>
              </w:rPr>
              <w:t>APT</w:t>
            </w:r>
            <w:r w:rsidRPr="00F50B51">
              <w:rPr>
                <w:rFonts w:ascii="宋体" w:hAnsi="宋体"/>
                <w:sz w:val="18"/>
              </w:rPr>
              <w:t>煅烧制成，有黄色氧化钨、蓝色氧化钨和紫色氧化钨等多种氧化形态。氧化钨是生产钨粉的主要原料，主要用于生产金属钨粉和碳化钨粉，同时也可以用于生产化工产品，如油漆和涂料、石油工业催化剂等。</w:t>
            </w:r>
          </w:p>
        </w:tc>
      </w:tr>
      <w:tr w:rsidR="0058782B" w:rsidRPr="00F50B51">
        <w:tc>
          <w:tcPr>
            <w:tcW w:w="144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center"/>
            </w:pPr>
            <w:r w:rsidRPr="00F50B51">
              <w:rPr>
                <w:rFonts w:ascii="宋体" w:hAnsi="宋体"/>
                <w:sz w:val="18"/>
              </w:rPr>
              <w:t>钨粉</w:t>
            </w:r>
          </w:p>
        </w:tc>
        <w:tc>
          <w:tcPr>
            <w:tcW w:w="3104" w:type="dxa"/>
            <w:tcBorders>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noProof/>
              </w:rPr>
              <w:drawing>
                <wp:inline distT="0" distB="0" distL="0" distR="0">
                  <wp:extent cx="1762125" cy="11239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srcRect/>
                          <a:stretch>
                            <a:fillRect/>
                          </a:stretch>
                        </pic:blipFill>
                        <pic:spPr>
                          <a:xfrm>
                            <a:off x="0" y="0"/>
                            <a:ext cx="1762125" cy="1123950"/>
                          </a:xfrm>
                          <a:prstGeom prst="rect">
                            <a:avLst/>
                          </a:prstGeom>
                        </pic:spPr>
                      </pic:pic>
                    </a:graphicData>
                  </a:graphic>
                </wp:inline>
              </w:drawing>
            </w:r>
          </w:p>
        </w:tc>
        <w:tc>
          <w:tcPr>
            <w:tcW w:w="3972" w:type="dxa"/>
            <w:tcBorders>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rFonts w:ascii="宋体" w:hAnsi="宋体"/>
                <w:sz w:val="18"/>
              </w:rPr>
              <w:t>以氧化钨为原料，用氢气还原制成，主要用作钨材加工及碳化钨生产的原料。钨粉是加工钨材制品和钨合金的主要原料。纯钨粉可制成丝、棒、管、板等加工材和一定形状的制品；钨粉与其他金属粉末混合，可以制成各种钨合金，如钨钼合金、钨铼合金、钨铜合金等。</w:t>
            </w:r>
          </w:p>
        </w:tc>
      </w:tr>
      <w:tr w:rsidR="0058782B" w:rsidRPr="00F50B51">
        <w:tc>
          <w:tcPr>
            <w:tcW w:w="144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center"/>
            </w:pPr>
            <w:r w:rsidRPr="00F50B51">
              <w:rPr>
                <w:rFonts w:ascii="宋体" w:hAnsi="宋体"/>
                <w:sz w:val="18"/>
              </w:rPr>
              <w:t>碳化钨粉</w:t>
            </w:r>
          </w:p>
        </w:tc>
        <w:tc>
          <w:tcPr>
            <w:tcW w:w="3104" w:type="dxa"/>
            <w:tcBorders>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noProof/>
              </w:rPr>
              <w:drawing>
                <wp:inline distT="0" distB="0" distL="0" distR="0">
                  <wp:extent cx="1762125" cy="11715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a:srcRect/>
                          <a:stretch>
                            <a:fillRect/>
                          </a:stretch>
                        </pic:blipFill>
                        <pic:spPr>
                          <a:xfrm>
                            <a:off x="0" y="0"/>
                            <a:ext cx="1762125" cy="1171575"/>
                          </a:xfrm>
                          <a:prstGeom prst="rect">
                            <a:avLst/>
                          </a:prstGeom>
                        </pic:spPr>
                      </pic:pic>
                    </a:graphicData>
                  </a:graphic>
                </wp:inline>
              </w:drawing>
            </w:r>
          </w:p>
        </w:tc>
        <w:tc>
          <w:tcPr>
            <w:tcW w:w="3972" w:type="dxa"/>
            <w:tcBorders>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rFonts w:ascii="宋体" w:hAnsi="宋体"/>
                <w:sz w:val="18"/>
              </w:rPr>
              <w:t>以金属钨粉和炭黑为原料，经过配碳、碳化、球磨、过筛工序制成，黑色六方晶体，有金属光泽，为电、热的良好导体，具有较高熔沸点，化学性质非常稳定。碳化钨粉是生产硬质合金的主要原料。</w:t>
            </w:r>
          </w:p>
        </w:tc>
      </w:tr>
      <w:tr w:rsidR="0058782B" w:rsidRPr="00F50B51">
        <w:tc>
          <w:tcPr>
            <w:tcW w:w="144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center"/>
            </w:pPr>
            <w:r w:rsidRPr="00F50B51">
              <w:rPr>
                <w:rFonts w:ascii="宋体" w:hAnsi="宋体"/>
                <w:sz w:val="18"/>
              </w:rPr>
              <w:t>钨硬质合金</w:t>
            </w:r>
          </w:p>
        </w:tc>
        <w:tc>
          <w:tcPr>
            <w:tcW w:w="3104" w:type="dxa"/>
            <w:tcBorders>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noProof/>
              </w:rPr>
              <w:drawing>
                <wp:inline distT="0" distB="0" distL="0" distR="0">
                  <wp:extent cx="1762125" cy="12001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a:srcRect/>
                          <a:stretch>
                            <a:fillRect/>
                          </a:stretch>
                        </pic:blipFill>
                        <pic:spPr>
                          <a:xfrm>
                            <a:off x="0" y="0"/>
                            <a:ext cx="1762125" cy="1200150"/>
                          </a:xfrm>
                          <a:prstGeom prst="rect">
                            <a:avLst/>
                          </a:prstGeom>
                        </pic:spPr>
                      </pic:pic>
                    </a:graphicData>
                  </a:graphic>
                </wp:inline>
              </w:drawing>
            </w:r>
          </w:p>
        </w:tc>
        <w:tc>
          <w:tcPr>
            <w:tcW w:w="3972" w:type="dxa"/>
            <w:tcBorders>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rFonts w:ascii="宋体" w:hAnsi="宋体"/>
                <w:sz w:val="18"/>
              </w:rPr>
              <w:t>以碳化钨粉为硬质相，以钴为粘结剂，经混合、湿磨、干燥、制粒后制成</w:t>
            </w:r>
            <w:r w:rsidRPr="00F50B51">
              <w:rPr>
                <w:rFonts w:ascii="宋体" w:hAnsi="宋体"/>
                <w:sz w:val="18"/>
              </w:rPr>
              <w:t>混合料，再将混合料压制成坯料，经过压制、烧结制成具备所需性能的硬质合金材料，主要用于制作各种切削工具、刀具、钻具、矿山工具和耐磨零部件等。</w:t>
            </w:r>
          </w:p>
        </w:tc>
      </w:tr>
      <w:tr w:rsidR="0058782B" w:rsidRPr="00F50B51">
        <w:tc>
          <w:tcPr>
            <w:tcW w:w="144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center"/>
            </w:pPr>
            <w:r w:rsidRPr="00F50B51">
              <w:rPr>
                <w:rFonts w:ascii="宋体" w:hAnsi="宋体"/>
                <w:sz w:val="18"/>
              </w:rPr>
              <w:t>硬质合金刀具</w:t>
            </w:r>
          </w:p>
        </w:tc>
        <w:tc>
          <w:tcPr>
            <w:tcW w:w="3104" w:type="dxa"/>
            <w:tcBorders>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noProof/>
              </w:rPr>
              <w:drawing>
                <wp:inline distT="0" distB="0" distL="0" distR="0">
                  <wp:extent cx="1762125" cy="13239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6"/>
                          <a:srcRect/>
                          <a:stretch>
                            <a:fillRect/>
                          </a:stretch>
                        </pic:blipFill>
                        <pic:spPr>
                          <a:xfrm>
                            <a:off x="0" y="0"/>
                            <a:ext cx="1762125" cy="1323975"/>
                          </a:xfrm>
                          <a:prstGeom prst="rect">
                            <a:avLst/>
                          </a:prstGeom>
                        </pic:spPr>
                      </pic:pic>
                    </a:graphicData>
                  </a:graphic>
                </wp:inline>
              </w:drawing>
            </w:r>
          </w:p>
        </w:tc>
        <w:tc>
          <w:tcPr>
            <w:tcW w:w="3972" w:type="dxa"/>
            <w:tcBorders>
              <w:bottom w:val="single" w:sz="8" w:space="0" w:color="000000"/>
              <w:right w:val="single" w:sz="8" w:space="0" w:color="000000"/>
            </w:tcBorders>
            <w:tcMar>
              <w:top w:w="10" w:type="dxa"/>
              <w:left w:w="10" w:type="dxa"/>
              <w:bottom w:w="10" w:type="dxa"/>
              <w:right w:w="10" w:type="dxa"/>
            </w:tcMar>
          </w:tcPr>
          <w:p w:rsidR="0058782B" w:rsidRPr="00F50B51" w:rsidRDefault="00F80EE7">
            <w:pPr>
              <w:spacing w:before="40" w:after="40"/>
              <w:jc w:val="both"/>
            </w:pPr>
            <w:r w:rsidRPr="00F50B51">
              <w:rPr>
                <w:rFonts w:ascii="宋体" w:hAnsi="宋体"/>
                <w:sz w:val="18"/>
              </w:rPr>
              <w:t>硬质合金刀具主要以公司自产的硬质合金为原料，根据客户的需求，加工处理而成。其适用于各种碳钢、铸铁、不锈钢、耐热钢、镍基及钛合金等材料的加工，亦适用于铝镁合金、超硬合金钢、各种</w:t>
            </w:r>
            <w:r w:rsidRPr="00F50B51">
              <w:rPr>
                <w:rFonts w:ascii="Times New Roman" w:hAnsi="Times New Roman"/>
                <w:sz w:val="18"/>
              </w:rPr>
              <w:t>PCB</w:t>
            </w:r>
            <w:r w:rsidRPr="00F50B51">
              <w:rPr>
                <w:rFonts w:ascii="宋体" w:hAnsi="宋体"/>
                <w:sz w:val="18"/>
              </w:rPr>
              <w:t>基板、超硬塑料材料、超硬纤维材料等。</w:t>
            </w:r>
          </w:p>
        </w:tc>
      </w:tr>
    </w:tbl>
    <w:p w:rsidR="0058782B" w:rsidRPr="00F50B51" w:rsidRDefault="00F80EE7">
      <w:pPr>
        <w:spacing w:before="119"/>
        <w:jc w:val="both"/>
      </w:pPr>
      <w:r w:rsidRPr="00F50B51">
        <w:rPr>
          <w:rFonts w:ascii="Times New Roman" w:hAnsi="Times New Roman"/>
          <w:sz w:val="18"/>
        </w:rPr>
        <w:t>3</w:t>
      </w:r>
      <w:r w:rsidRPr="00F50B51">
        <w:rPr>
          <w:rFonts w:ascii="宋体" w:hAnsi="宋体"/>
          <w:sz w:val="18"/>
        </w:rPr>
        <w:t>、主要经营模式</w:t>
      </w:r>
    </w:p>
    <w:p w:rsidR="0058782B" w:rsidRPr="00F50B51" w:rsidRDefault="00F80EE7">
      <w:pPr>
        <w:spacing w:before="119"/>
        <w:jc w:val="both"/>
      </w:pPr>
      <w:r w:rsidRPr="00F50B51">
        <w:rPr>
          <w:rFonts w:ascii="宋体" w:hAnsi="宋体"/>
          <w:sz w:val="18"/>
        </w:rPr>
        <w:t>（</w:t>
      </w:r>
      <w:r w:rsidRPr="00F50B51">
        <w:rPr>
          <w:rFonts w:ascii="Times New Roman" w:hAnsi="Times New Roman"/>
          <w:sz w:val="18"/>
        </w:rPr>
        <w:t>1</w:t>
      </w:r>
      <w:r w:rsidRPr="00F50B51">
        <w:rPr>
          <w:rFonts w:ascii="宋体" w:hAnsi="宋体"/>
          <w:sz w:val="18"/>
        </w:rPr>
        <w:t>）公司生产模式</w:t>
      </w:r>
    </w:p>
    <w:p w:rsidR="0058782B" w:rsidRPr="00F50B51" w:rsidRDefault="00F80EE7">
      <w:pPr>
        <w:spacing w:before="119"/>
        <w:jc w:val="both"/>
      </w:pPr>
      <w:r w:rsidRPr="00F50B51">
        <w:rPr>
          <w:rFonts w:ascii="宋体" w:hAnsi="宋体"/>
          <w:sz w:val="18"/>
        </w:rPr>
        <w:t>公司的粉末系列产品及非标刀具生产模式是以订单式生产为主。根据销售部门接收的订单安排生产计划，组织人员进行生产。同时，结合销售预测、库存情况及生产周期进行中间产品的备货生产，提高生产效率及对客户产品订单的响应速度。</w:t>
      </w:r>
    </w:p>
    <w:p w:rsidR="0058782B" w:rsidRPr="00F50B51" w:rsidRDefault="00F80EE7">
      <w:pPr>
        <w:spacing w:before="119"/>
        <w:jc w:val="both"/>
      </w:pPr>
      <w:r w:rsidRPr="00F50B51">
        <w:rPr>
          <w:rFonts w:ascii="宋体" w:hAnsi="宋体"/>
          <w:sz w:val="18"/>
        </w:rPr>
        <w:t>硬质合金棒材及刀具（标准产品）生产模式除订单式生产外，会形成部分库存，以提高客户交付的响应速度。</w:t>
      </w:r>
    </w:p>
    <w:p w:rsidR="0058782B" w:rsidRPr="00F50B51" w:rsidRDefault="00F80EE7">
      <w:pPr>
        <w:spacing w:before="119"/>
        <w:jc w:val="both"/>
      </w:pPr>
      <w:r w:rsidRPr="00F50B51">
        <w:rPr>
          <w:rFonts w:ascii="宋体" w:hAnsi="宋体"/>
          <w:sz w:val="18"/>
        </w:rPr>
        <w:lastRenderedPageBreak/>
        <w:t>（</w:t>
      </w:r>
      <w:r w:rsidRPr="00F50B51">
        <w:rPr>
          <w:rFonts w:ascii="Times New Roman" w:hAnsi="Times New Roman"/>
          <w:sz w:val="18"/>
        </w:rPr>
        <w:t>2</w:t>
      </w:r>
      <w:r w:rsidRPr="00F50B51">
        <w:rPr>
          <w:rFonts w:ascii="宋体" w:hAnsi="宋体"/>
          <w:sz w:val="18"/>
        </w:rPr>
        <w:t>）公司销售模式</w:t>
      </w:r>
    </w:p>
    <w:p w:rsidR="0058782B" w:rsidRPr="00F50B51" w:rsidRDefault="00F80EE7">
      <w:pPr>
        <w:spacing w:before="119"/>
        <w:jc w:val="both"/>
      </w:pPr>
      <w:r w:rsidRPr="00F50B51">
        <w:rPr>
          <w:rFonts w:ascii="宋体" w:hAnsi="宋体"/>
          <w:sz w:val="18"/>
        </w:rPr>
        <w:t>公司采用了直销为主，经销为辅的销售模式，这两种销售模式都属于买断式销售。直销模式下，公司开拓客户，销售人员直接联系客户推广。经销模式下，公司产品直接销售给经销商，经销商负责产品销售</w:t>
      </w:r>
      <w:r w:rsidRPr="00F50B51">
        <w:rPr>
          <w:rFonts w:ascii="宋体" w:hAnsi="宋体"/>
          <w:sz w:val="18"/>
        </w:rPr>
        <w:t>并自负盈亏，同时，公司为经销商的下游客户提供技术指导，下游客户的使用反馈也直接提供给公司。在实际经营中，大部分业务均直接与用户对接，客户向公司提出产品的具体要求，公司再安排生产、销售及售后服务。</w:t>
      </w:r>
    </w:p>
    <w:p w:rsidR="0058782B" w:rsidRPr="00F50B51" w:rsidRDefault="00F80EE7">
      <w:pPr>
        <w:spacing w:before="119"/>
        <w:jc w:val="both"/>
      </w:pPr>
      <w:r w:rsidRPr="00F50B51">
        <w:rPr>
          <w:rFonts w:ascii="宋体" w:hAnsi="宋体"/>
          <w:sz w:val="18"/>
        </w:rPr>
        <w:t>（</w:t>
      </w:r>
      <w:r w:rsidRPr="00F50B51">
        <w:rPr>
          <w:rFonts w:ascii="Times New Roman" w:hAnsi="Times New Roman"/>
          <w:sz w:val="18"/>
        </w:rPr>
        <w:t>3</w:t>
      </w:r>
      <w:r w:rsidRPr="00F50B51">
        <w:rPr>
          <w:rFonts w:ascii="宋体" w:hAnsi="宋体"/>
          <w:sz w:val="18"/>
        </w:rPr>
        <w:t>）公司采购模式</w:t>
      </w:r>
    </w:p>
    <w:p w:rsidR="0058782B" w:rsidRPr="00F50B51" w:rsidRDefault="00F80EE7">
      <w:pPr>
        <w:spacing w:before="119"/>
        <w:jc w:val="both"/>
      </w:pPr>
      <w:r w:rsidRPr="00F50B51">
        <w:rPr>
          <w:rFonts w:ascii="宋体" w:hAnsi="宋体"/>
          <w:sz w:val="18"/>
        </w:rPr>
        <w:t>公司根据物料的不同，采取不同的采购模式。</w:t>
      </w:r>
    </w:p>
    <w:p w:rsidR="0058782B" w:rsidRPr="00F50B51" w:rsidRDefault="00F80EE7">
      <w:pPr>
        <w:spacing w:before="119"/>
        <w:jc w:val="both"/>
      </w:pPr>
      <w:r w:rsidRPr="00F50B51">
        <w:rPr>
          <w:rFonts w:ascii="宋体" w:hAnsi="宋体"/>
          <w:sz w:val="18"/>
        </w:rPr>
        <w:t>对于钨精矿，按照生产计划进行采购，结合钨精矿的库存确定采购量，并根据供应商报价以及三大网站（亚洲金属网、中华商务网、伦敦金属导报）的报价情况确定采购价格。综合考虑正常采购流程及突发情况两方面因素，公司钨精矿通常需要</w:t>
      </w:r>
      <w:r w:rsidRPr="00F50B51">
        <w:rPr>
          <w:rFonts w:ascii="Times New Roman" w:hAnsi="Times New Roman"/>
          <w:sz w:val="18"/>
        </w:rPr>
        <w:t>1-2</w:t>
      </w:r>
      <w:r w:rsidRPr="00F50B51">
        <w:rPr>
          <w:rFonts w:ascii="宋体" w:hAnsi="宋体"/>
          <w:sz w:val="18"/>
        </w:rPr>
        <w:t>个月的安全库存。</w:t>
      </w:r>
    </w:p>
    <w:p w:rsidR="0058782B" w:rsidRPr="00F50B51" w:rsidRDefault="00F80EE7">
      <w:r w:rsidRPr="00F50B51">
        <w:rPr>
          <w:rFonts w:ascii="Times New Roman" w:hAnsi="Times New Roman"/>
          <w:sz w:val="18"/>
        </w:rPr>
        <w:t xml:space="preserve">    </w:t>
      </w:r>
      <w:r w:rsidRPr="00F50B51">
        <w:rPr>
          <w:rFonts w:ascii="宋体" w:hAnsi="宋体"/>
          <w:sz w:val="18"/>
        </w:rPr>
        <w:t>对于</w:t>
      </w:r>
      <w:r w:rsidRPr="00F50B51">
        <w:rPr>
          <w:rFonts w:ascii="Times New Roman" w:hAnsi="Times New Roman"/>
          <w:sz w:val="18"/>
        </w:rPr>
        <w:t>AP</w:t>
      </w:r>
      <w:r w:rsidRPr="00F50B51">
        <w:rPr>
          <w:rFonts w:ascii="Times New Roman" w:hAnsi="Times New Roman"/>
          <w:sz w:val="18"/>
        </w:rPr>
        <w:t>T</w:t>
      </w:r>
      <w:r w:rsidRPr="00F50B51">
        <w:rPr>
          <w:rFonts w:ascii="宋体" w:hAnsi="宋体"/>
          <w:sz w:val="18"/>
        </w:rPr>
        <w:t>，公司根据自产</w:t>
      </w:r>
      <w:r w:rsidRPr="00F50B51">
        <w:rPr>
          <w:rFonts w:ascii="Times New Roman" w:hAnsi="Times New Roman"/>
          <w:sz w:val="18"/>
        </w:rPr>
        <w:t>APT</w:t>
      </w:r>
      <w:r w:rsidRPr="00F50B51">
        <w:rPr>
          <w:rFonts w:ascii="宋体" w:hAnsi="宋体"/>
          <w:sz w:val="18"/>
        </w:rPr>
        <w:t>数量与所需</w:t>
      </w:r>
      <w:r w:rsidRPr="00F50B51">
        <w:rPr>
          <w:rFonts w:ascii="Times New Roman" w:hAnsi="Times New Roman"/>
          <w:sz w:val="18"/>
        </w:rPr>
        <w:t>APT</w:t>
      </w:r>
      <w:r w:rsidRPr="00F50B51">
        <w:rPr>
          <w:rFonts w:ascii="宋体" w:hAnsi="宋体"/>
          <w:sz w:val="18"/>
        </w:rPr>
        <w:t>的耗用量之间的缺口进行补充采购。</w:t>
      </w:r>
    </w:p>
    <w:p w:rsidR="0058782B" w:rsidRPr="00F50B51" w:rsidRDefault="00F80EE7">
      <w:pPr>
        <w:pStyle w:val="2"/>
        <w:spacing w:before="300" w:after="300" w:line="320" w:lineRule="exact"/>
        <w:rPr>
          <w:rFonts w:ascii="宋体" w:eastAsia="宋体" w:hAnsi="宋体" w:cs="宋体"/>
          <w:b/>
          <w:bCs/>
          <w:sz w:val="24"/>
          <w:szCs w:val="24"/>
        </w:rPr>
      </w:pPr>
      <w:bookmarkStart w:id="15" w:name="_Toc988904"/>
      <w:r w:rsidRPr="00F50B51">
        <w:rPr>
          <w:rFonts w:ascii="宋体" w:eastAsia="宋体" w:hAnsi="宋体" w:cs="宋体"/>
          <w:b/>
          <w:bCs/>
          <w:sz w:val="24"/>
          <w:szCs w:val="24"/>
        </w:rPr>
        <w:t>二、核心竞争力分析</w:t>
      </w:r>
      <w:bookmarkEnd w:id="15"/>
    </w:p>
    <w:p w:rsidR="0058782B" w:rsidRPr="00F50B51" w:rsidRDefault="00F80EE7">
      <w:pPr>
        <w:pStyle w:val="a7"/>
        <w:spacing w:before="12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1</w:t>
      </w:r>
      <w:r w:rsidRPr="00F50B51">
        <w:rPr>
          <w:rFonts w:cs="Times New Roman" w:hint="eastAsia"/>
          <w:sz w:val="18"/>
          <w:szCs w:val="18"/>
        </w:rPr>
        <w:t>、公司是国内钨行业具备完整产业链的企业之一，业务范围包括钨精矿采选、仲钨酸铵冶炼、氧化钨、钨粉、碳化钨粉、硬质合金及其整体硬质合金刀具等全系列钨产品的生产。完整的产业链对公司持续盈利及减少盈利波动创造了良好条件，增强了公司的抗风险能力。</w:t>
      </w:r>
    </w:p>
    <w:p w:rsidR="0058782B" w:rsidRPr="00F50B51" w:rsidRDefault="00F80EE7">
      <w:pPr>
        <w:pStyle w:val="a7"/>
        <w:spacing w:before="12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2</w:t>
      </w:r>
      <w:r w:rsidRPr="00F50B51">
        <w:rPr>
          <w:rFonts w:cs="Times New Roman" w:hint="eastAsia"/>
          <w:sz w:val="18"/>
          <w:szCs w:val="18"/>
        </w:rPr>
        <w:t>、公司拥有较为丰富的钨粉末系列产品，通过在超细碳化钨粉和超粗碳化钨粉两个方向持续的技术攻关，在碳化钨粉的粒度分布、颗粒集中度、减少团聚和夹粗等方面取得了领先的技术水平，公司能够根据产业链上下游的技术变化、产能变化、市场与客户变化等灵活改变产品组合，及时集中公司资源进行技术攻关，开发具有市场竞争力的产品。</w:t>
      </w:r>
    </w:p>
    <w:p w:rsidR="0058782B" w:rsidRPr="00F50B51" w:rsidRDefault="00F80EE7">
      <w:pPr>
        <w:pStyle w:val="a7"/>
        <w:spacing w:before="12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3</w:t>
      </w:r>
      <w:r w:rsidRPr="00F50B51">
        <w:rPr>
          <w:rFonts w:cs="Times New Roman" w:hint="eastAsia"/>
          <w:sz w:val="18"/>
          <w:szCs w:val="18"/>
        </w:rPr>
        <w:t>、公司控股子公司江西翔鹭拥有铁苍寨矿区钨矿采矿权，面积</w:t>
      </w:r>
      <w:r w:rsidRPr="00F50B51">
        <w:rPr>
          <w:rFonts w:ascii="Times New Roman" w:hAnsi="Times New Roman" w:cs="Times New Roman"/>
          <w:sz w:val="18"/>
          <w:szCs w:val="18"/>
        </w:rPr>
        <w:t>5.96</w:t>
      </w:r>
      <w:r w:rsidRPr="00F50B51">
        <w:rPr>
          <w:rFonts w:cs="Times New Roman" w:hint="eastAsia"/>
          <w:sz w:val="18"/>
          <w:szCs w:val="18"/>
        </w:rPr>
        <w:t>平方千米，开采矿种为钨、锡、铜矿。钨是我国重要的战略资源，属于贵重稀缺资源。</w:t>
      </w:r>
    </w:p>
    <w:p w:rsidR="0058782B" w:rsidRPr="00F50B51" w:rsidRDefault="00F80EE7">
      <w:pPr>
        <w:pStyle w:val="a7"/>
        <w:spacing w:before="12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4</w:t>
      </w:r>
      <w:r w:rsidRPr="00F50B51">
        <w:rPr>
          <w:rFonts w:cs="Times New Roman" w:hint="eastAsia"/>
          <w:sz w:val="18"/>
          <w:szCs w:val="18"/>
        </w:rPr>
        <w:t>、公司技术力量和技术创新能力在行业内处于先进水平。通过引进与自</w:t>
      </w:r>
      <w:r w:rsidRPr="00F50B51">
        <w:rPr>
          <w:rFonts w:cs="Times New Roman" w:hint="eastAsia"/>
          <w:sz w:val="18"/>
          <w:szCs w:val="18"/>
        </w:rPr>
        <w:t>主创新、产学研相结合的模式，在钨产业技术发展方面取得了多项重大技术突破，并在产业链的各环节均拥有核心技术。</w:t>
      </w:r>
    </w:p>
    <w:p w:rsidR="0058782B" w:rsidRPr="00F50B51" w:rsidRDefault="00F80EE7">
      <w:pPr>
        <w:pStyle w:val="a7"/>
        <w:spacing w:before="12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5</w:t>
      </w:r>
      <w:r w:rsidRPr="00F50B51">
        <w:rPr>
          <w:rFonts w:cs="Times New Roman" w:hint="eastAsia"/>
          <w:sz w:val="18"/>
          <w:szCs w:val="18"/>
        </w:rPr>
        <w:t>、公司是商务部批准的</w:t>
      </w:r>
      <w:r w:rsidRPr="00F50B51">
        <w:rPr>
          <w:rFonts w:ascii="Times New Roman" w:hAnsi="Times New Roman" w:cs="Times New Roman"/>
          <w:sz w:val="18"/>
          <w:szCs w:val="18"/>
        </w:rPr>
        <w:t>16</w:t>
      </w:r>
      <w:r w:rsidRPr="00F50B51">
        <w:rPr>
          <w:rFonts w:cs="Times New Roman" w:hint="eastAsia"/>
          <w:sz w:val="18"/>
          <w:szCs w:val="18"/>
        </w:rPr>
        <w:t>家</w:t>
      </w:r>
      <w:r w:rsidRPr="00F50B51">
        <w:rPr>
          <w:rFonts w:ascii="Times New Roman" w:hAnsi="Times New Roman" w:cs="Times New Roman"/>
          <w:sz w:val="18"/>
          <w:szCs w:val="18"/>
        </w:rPr>
        <w:t>"</w:t>
      </w:r>
      <w:r w:rsidRPr="00F50B51">
        <w:rPr>
          <w:rFonts w:cs="Times New Roman" w:hint="eastAsia"/>
          <w:sz w:val="18"/>
          <w:szCs w:val="18"/>
        </w:rPr>
        <w:t>钨品国营贸易出口资格企业</w:t>
      </w:r>
      <w:r w:rsidRPr="00F50B51">
        <w:rPr>
          <w:rFonts w:ascii="Times New Roman" w:hAnsi="Times New Roman" w:cs="Times New Roman"/>
          <w:sz w:val="18"/>
          <w:szCs w:val="18"/>
        </w:rPr>
        <w:t>"</w:t>
      </w:r>
      <w:r w:rsidRPr="00F50B51">
        <w:rPr>
          <w:rFonts w:cs="Times New Roman" w:hint="eastAsia"/>
          <w:sz w:val="18"/>
          <w:szCs w:val="18"/>
        </w:rPr>
        <w:t>之一。</w:t>
      </w:r>
    </w:p>
    <w:p w:rsidR="0058782B" w:rsidRPr="00F50B51" w:rsidRDefault="00F80EE7">
      <w:pPr>
        <w:pStyle w:val="a7"/>
        <w:spacing w:before="12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6</w:t>
      </w:r>
      <w:r w:rsidRPr="00F50B51">
        <w:rPr>
          <w:rFonts w:cs="Times New Roman" w:hint="eastAsia"/>
          <w:sz w:val="18"/>
          <w:szCs w:val="18"/>
        </w:rPr>
        <w:t>、公司凭借优异的产品质量、丰富的产品结构以及较高的性价比，公司产品获得了众多海内外知名企业的认可，并保持了长期的合作关系。</w:t>
      </w:r>
    </w:p>
    <w:p w:rsidR="0058782B" w:rsidRPr="00F50B51" w:rsidRDefault="00F80EE7">
      <w:pPr>
        <w:pStyle w:val="a7"/>
        <w:spacing w:before="40" w:beforeAutospacing="0" w:after="40" w:afterAutospacing="0"/>
        <w:jc w:val="both"/>
        <w:rPr>
          <w:rFonts w:ascii="Times New Roman" w:hAnsi="Times New Roman" w:cs="Times New Roman"/>
          <w:sz w:val="18"/>
          <w:szCs w:val="18"/>
        </w:rPr>
      </w:pPr>
      <w:r w:rsidRPr="00F50B51">
        <w:rPr>
          <w:rFonts w:ascii="Times New Roman" w:hAnsi="Times New Roman" w:cs="Times New Roman"/>
          <w:sz w:val="18"/>
          <w:szCs w:val="18"/>
        </w:rPr>
        <w:t>7</w:t>
      </w:r>
      <w:r w:rsidRPr="00F50B51">
        <w:rPr>
          <w:rFonts w:cs="Times New Roman" w:hint="eastAsia"/>
          <w:sz w:val="18"/>
          <w:szCs w:val="18"/>
        </w:rPr>
        <w:t>、公司粉末系列及合金棒材产品性能稳定，</w:t>
      </w:r>
      <w:r w:rsidRPr="00F50B51">
        <w:rPr>
          <w:rFonts w:ascii="Times New Roman" w:hAnsi="Times New Roman" w:cs="Times New Roman"/>
          <w:sz w:val="18"/>
          <w:szCs w:val="18"/>
        </w:rPr>
        <w:t>“</w:t>
      </w:r>
      <w:r w:rsidRPr="00F50B51">
        <w:rPr>
          <w:rFonts w:cs="Times New Roman" w:hint="eastAsia"/>
          <w:sz w:val="18"/>
          <w:szCs w:val="18"/>
        </w:rPr>
        <w:t>翔鹭</w:t>
      </w:r>
      <w:r w:rsidRPr="00F50B51">
        <w:rPr>
          <w:rFonts w:ascii="Times New Roman" w:hAnsi="Times New Roman" w:cs="Times New Roman"/>
          <w:sz w:val="18"/>
          <w:szCs w:val="18"/>
        </w:rPr>
        <w:t>”</w:t>
      </w:r>
      <w:r w:rsidRPr="00F50B51">
        <w:rPr>
          <w:rFonts w:cs="Times New Roman" w:hint="eastAsia"/>
          <w:sz w:val="18"/>
          <w:szCs w:val="18"/>
        </w:rPr>
        <w:t>品牌得到市场广泛认可，碳化钨销量目前国内前三，硬质合金棒材进入国内前十。</w:t>
      </w:r>
    </w:p>
    <w:p w:rsidR="0058782B" w:rsidRPr="00F50B51" w:rsidRDefault="00F80EE7">
      <w:pPr>
        <w:pStyle w:val="2"/>
        <w:spacing w:before="300" w:after="300" w:line="320" w:lineRule="exact"/>
        <w:rPr>
          <w:rFonts w:ascii="宋体" w:eastAsia="宋体" w:hAnsi="宋体" w:cs="宋体"/>
          <w:b/>
          <w:bCs/>
          <w:sz w:val="24"/>
          <w:szCs w:val="24"/>
        </w:rPr>
      </w:pPr>
      <w:bookmarkStart w:id="16" w:name="_Toc988905"/>
      <w:r w:rsidRPr="00F50B51">
        <w:rPr>
          <w:rFonts w:ascii="宋体" w:eastAsia="宋体" w:hAnsi="宋体" w:cs="宋体"/>
          <w:b/>
          <w:bCs/>
          <w:sz w:val="24"/>
          <w:szCs w:val="24"/>
        </w:rPr>
        <w:t>三、主营业务分析</w:t>
      </w:r>
      <w:bookmarkEnd w:id="16"/>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概述</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参见</w:t>
      </w:r>
      <w:r w:rsidRPr="00F50B51">
        <w:rPr>
          <w:rFonts w:ascii="宋体" w:eastAsia="宋体" w:hAnsi="宋体" w:cs="宋体"/>
          <w:sz w:val="18"/>
          <w:szCs w:val="18"/>
        </w:rPr>
        <w:t>“</w:t>
      </w:r>
      <w:r w:rsidRPr="00F50B51">
        <w:rPr>
          <w:rFonts w:ascii="宋体" w:eastAsia="宋体" w:hAnsi="宋体" w:cs="宋体"/>
          <w:sz w:val="18"/>
          <w:szCs w:val="18"/>
        </w:rPr>
        <w:t>一、报告期内公司从事的主要业务</w:t>
      </w:r>
      <w:r w:rsidRPr="00F50B51">
        <w:rPr>
          <w:rFonts w:ascii="宋体" w:eastAsia="宋体" w:hAnsi="宋体" w:cs="宋体"/>
          <w:sz w:val="18"/>
          <w:szCs w:val="18"/>
        </w:rPr>
        <w:t>”</w:t>
      </w:r>
      <w:r w:rsidRPr="00F50B51">
        <w:rPr>
          <w:rFonts w:ascii="宋体" w:eastAsia="宋体" w:hAnsi="宋体" w:cs="宋体"/>
          <w:sz w:val="18"/>
          <w:szCs w:val="18"/>
        </w:rPr>
        <w:t>相关内容。</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主要财务数据同比变动情况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上年同期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同比增减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变动原因</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营业收入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900,742,350.39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775,505,881.77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16.15%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营业成本</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792,176,845.31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674,281,693.51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17.48%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销售费用</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3,019,401.21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2,269,128.71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33.06%</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主要系销售业务费用增加所致</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lastRenderedPageBreak/>
              <w:t>管理费用</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36,022,401.07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23,883,720.87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50.82%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主要系实施股权激励和矿业停工损失增加所致</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财务费用</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14,648,031.94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17,920,834.52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-18.26%</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所得税费用</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-2,651,089.51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231,868.42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-1,243.36%</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主要系预缴所得税增加所致</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研发投入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33,260,554.10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28,914,992.87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15.03%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经营活动产生的现金流量净额</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26,409,214.59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10,673,285.54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147.43%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主要系销售商品、提供劳务收到的现金增加及收到的税收返还增加所致</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投资活动产生的现金流量净额</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-14,634,998.93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-28,382,255.58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48.44%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主要系购建固定资产、无形资产和其他长期资产所支付的现金减少</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筹资活动产生的现金流量净额</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17,018,017.59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-10,754,021.68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258.25%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主要系收到借款的本金净额增加所致</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现金及现金等价物净增加额</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37,024,502.93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-28,437,374.61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230.20%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主要系经营，投资和筹资现金流量净额增加所致</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税金及附加</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2,922,278.36</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1,421,372.78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105.60%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主要系税费增加所致</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其他收益</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5,034,807.35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2,592,068.56</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94.24%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主要系收到政府补助的增加</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信用减值损失</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-1,245,475.52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-1,804,134.64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30.97%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主要系应收账款坏账准备减少</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汇率变动对现金及现金等价物的影响</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8,232,269.68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25,617.11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32,035.83%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主要系人民币汇率变动所致</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期末现金及现金等价物余额</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171,348,439.04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95,196,394.18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79.99%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主要系现金及现金等价物净增加额和期末货币资金存量增加所致</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公司报告期利润构成或利润来源发生重大变动</w:t>
      </w:r>
    </w:p>
    <w:p w:rsidR="0058782B" w:rsidRPr="00F50B51" w:rsidRDefault="0058782B">
      <w:pPr>
        <w:spacing w:before="100" w:after="100" w:line="0" w:lineRule="atLeast"/>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公司报告期利润构成或利润来源没有发生重大变动。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营业收入构成</w:t>
      </w:r>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7"/>
        <w:gridCol w:w="1606"/>
        <w:gridCol w:w="1607"/>
        <w:gridCol w:w="1607"/>
      </w:tblGrid>
      <w:tr w:rsidR="0058782B" w:rsidRPr="00F50B51">
        <w:trPr>
          <w:trHeight w:val="240"/>
        </w:trPr>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上年同期</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同比增减</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这是文本内容</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占营业收入比重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占营业收入比重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这是文本内容</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营业收入合计</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900,742,350.39</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right"/>
              <w:rPr>
                <w:rFonts w:ascii="宋体" w:eastAsia="宋体" w:hAnsi="宋体" w:cs="宋体"/>
                <w:sz w:val="18"/>
                <w:szCs w:val="18"/>
                <w:shd w:val="clear" w:color="auto" w:fill="D3D3D3"/>
              </w:rPr>
            </w:pPr>
            <w:r w:rsidRPr="00F50B51">
              <w:rPr>
                <w:rFonts w:ascii="宋体" w:eastAsia="宋体" w:hAnsi="宋体" w:cs="宋体"/>
                <w:sz w:val="18"/>
                <w:szCs w:val="18"/>
                <w:shd w:val="clear" w:color="auto" w:fill="D3D3D3"/>
              </w:rPr>
              <w:t>100%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775,505,881.77</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right"/>
              <w:rPr>
                <w:rFonts w:ascii="宋体" w:eastAsia="宋体" w:hAnsi="宋体" w:cs="宋体"/>
                <w:sz w:val="18"/>
                <w:szCs w:val="18"/>
                <w:shd w:val="clear" w:color="auto" w:fill="D3D3D3"/>
              </w:rPr>
            </w:pPr>
            <w:r w:rsidRPr="00F50B51">
              <w:rPr>
                <w:rFonts w:ascii="宋体" w:eastAsia="宋体" w:hAnsi="宋体" w:cs="宋体"/>
                <w:sz w:val="18"/>
                <w:szCs w:val="18"/>
                <w:shd w:val="clear" w:color="auto" w:fill="D3D3D3"/>
              </w:rPr>
              <w:t>100%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16.15%</w:t>
            </w:r>
          </w:p>
        </w:tc>
      </w:tr>
      <w:tr w:rsidR="0058782B" w:rsidRPr="00F50B51">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分行业</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有色金属冶炼和压延加工业</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900,742,350.39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775,505,881.77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16.15%</w:t>
            </w:r>
          </w:p>
        </w:tc>
      </w:tr>
      <w:tr w:rsidR="0058782B" w:rsidRPr="00F50B51">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分产品</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APT</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氧化钨</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59,826,546.88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6.64%</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30,226,768.13</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97.93%</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钨粉</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39,881,510.46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4.43%</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35,897,132.79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4.63%</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11.10%</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碳化钨粉</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637,237,863.95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70.75%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597,569,413.83</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77.06%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6.64%</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合金粉</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22,119,028.33</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1,982,957.78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0.26%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1,015.46%</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硬质合金</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117,678,117.26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90,613,382.50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11.68%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29.87%</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加工收入</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974,247.39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0.11%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2,021,179.05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0.26%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-51.80%</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其他副产品</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884,987.08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0.10%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3,043,343.36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0.39%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-70.92%</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合金工具</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17,021,121.45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12,696,272.24</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1.64%</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34.06%</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其他业务收入</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5,118,927.59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0.57%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1,455,432.09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0.19%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w:t>
            </w:r>
          </w:p>
        </w:tc>
      </w:tr>
      <w:tr w:rsidR="0058782B" w:rsidRPr="00F50B51">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分地区</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国内</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662,471,058.24</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73.55%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655,279,291.60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84.50%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1.10%</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国外</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238,271,292.15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120,226,590.17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15.50%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98.19%</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占公司营业收入或营业利润</w:t>
      </w:r>
      <w:r w:rsidRPr="00F50B51">
        <w:rPr>
          <w:rFonts w:ascii="宋体" w:eastAsia="宋体" w:hAnsi="宋体" w:cs="宋体"/>
          <w:sz w:val="18"/>
          <w:szCs w:val="18"/>
        </w:rPr>
        <w:t>10%</w:t>
      </w:r>
      <w:r w:rsidRPr="00F50B51">
        <w:rPr>
          <w:rFonts w:ascii="宋体" w:eastAsia="宋体" w:hAnsi="宋体" w:cs="宋体"/>
          <w:sz w:val="18"/>
          <w:szCs w:val="18"/>
        </w:rPr>
        <w:t>以上的行业、产品或地区情况</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566"/>
        <w:gridCol w:w="1560"/>
        <w:gridCol w:w="1005"/>
        <w:gridCol w:w="1377"/>
        <w:gridCol w:w="1377"/>
        <w:gridCol w:w="1377"/>
      </w:tblGrid>
      <w:tr w:rsidR="0058782B" w:rsidRPr="00F50B51" w:rsidT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56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营业收入</w:t>
            </w: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营业成本</w:t>
            </w:r>
          </w:p>
        </w:tc>
        <w:tc>
          <w:tcPr>
            <w:tcW w:w="10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毛利率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营业收入比上年同期增减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营业成本比上年同期增减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毛利率比上年同期增减</w:t>
            </w:r>
          </w:p>
        </w:tc>
      </w:tr>
      <w:tr w:rsidR="0058782B" w:rsidRPr="00F50B51">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分行业</w:t>
            </w:r>
          </w:p>
        </w:tc>
      </w:tr>
      <w:tr w:rsidR="0058782B" w:rsidRPr="00F50B51" w:rsidT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有色金属冶炼和压延加工业</w:t>
            </w:r>
          </w:p>
        </w:tc>
        <w:tc>
          <w:tcPr>
            <w:tcW w:w="156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900,742,350.39</w:t>
            </w:r>
          </w:p>
        </w:tc>
        <w:tc>
          <w:tcPr>
            <w:tcW w:w="156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792,176,845.31</w:t>
            </w:r>
          </w:p>
        </w:tc>
        <w:tc>
          <w:tcPr>
            <w:tcW w:w="10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12.05%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16.15%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17.48%</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w:t>
            </w:r>
          </w:p>
        </w:tc>
      </w:tr>
      <w:tr w:rsidR="0058782B" w:rsidRPr="00F50B51">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分产品</w:t>
            </w:r>
          </w:p>
        </w:tc>
      </w:tr>
      <w:tr w:rsidR="0058782B" w:rsidRPr="00F50B51" w:rsidT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碳化钨粉</w:t>
            </w:r>
          </w:p>
        </w:tc>
        <w:tc>
          <w:tcPr>
            <w:tcW w:w="156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637,237,863.95</w:t>
            </w:r>
          </w:p>
        </w:tc>
        <w:tc>
          <w:tcPr>
            <w:tcW w:w="156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 xml:space="preserve">569,186,792.65 </w:t>
            </w:r>
          </w:p>
        </w:tc>
        <w:tc>
          <w:tcPr>
            <w:tcW w:w="10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10.68%</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6.64%</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9.04%</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-1.97%</w:t>
            </w:r>
          </w:p>
        </w:tc>
      </w:tr>
      <w:tr w:rsidR="0058782B" w:rsidRPr="00F50B51" w:rsidT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硬质合金</w:t>
            </w:r>
          </w:p>
        </w:tc>
        <w:tc>
          <w:tcPr>
            <w:tcW w:w="156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117,678,117.26</w:t>
            </w:r>
          </w:p>
        </w:tc>
        <w:tc>
          <w:tcPr>
            <w:tcW w:w="156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 xml:space="preserve">89,579,763.01 </w:t>
            </w:r>
          </w:p>
        </w:tc>
        <w:tc>
          <w:tcPr>
            <w:tcW w:w="10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23.88%</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29.87%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32.44%</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-1.4</w:t>
            </w:r>
            <w:r w:rsidR="00F80EE7" w:rsidRPr="00F50B51">
              <w:rPr>
                <w:rFonts w:ascii="宋体" w:eastAsia="宋体" w:hAnsi="宋体" w:cs="宋体" w:hint="eastAsia"/>
                <w:sz w:val="18"/>
                <w:szCs w:val="18"/>
              </w:rPr>
              <w:t>7</w:t>
            </w:r>
            <w:r w:rsidRPr="00F50B51">
              <w:rPr>
                <w:rFonts w:ascii="宋体" w:eastAsia="宋体" w:hAnsi="宋体" w:cs="宋体"/>
                <w:sz w:val="18"/>
                <w:szCs w:val="18"/>
              </w:rPr>
              <w:t>%</w:t>
            </w:r>
          </w:p>
        </w:tc>
      </w:tr>
      <w:tr w:rsidR="0058782B" w:rsidRPr="00F50B51">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分地区</w:t>
            </w:r>
          </w:p>
        </w:tc>
      </w:tr>
      <w:tr w:rsidR="0058782B" w:rsidRPr="00F50B51" w:rsidT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国内</w:t>
            </w:r>
          </w:p>
        </w:tc>
        <w:tc>
          <w:tcPr>
            <w:tcW w:w="156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662,471,058.24</w:t>
            </w:r>
          </w:p>
        </w:tc>
        <w:tc>
          <w:tcPr>
            <w:tcW w:w="156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 xml:space="preserve">585,688,291.05 </w:t>
            </w:r>
          </w:p>
        </w:tc>
        <w:tc>
          <w:tcPr>
            <w:tcW w:w="10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11.59%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hint="eastAsia"/>
                <w:sz w:val="18"/>
                <w:szCs w:val="18"/>
              </w:rPr>
              <w:t>2.28</w:t>
            </w:r>
            <w:r w:rsidR="0058782B" w:rsidRPr="00F50B51">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-1.02%</w:t>
            </w:r>
          </w:p>
        </w:tc>
      </w:tr>
      <w:tr w:rsidR="0058782B" w:rsidRPr="00F50B51" w:rsidT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国外</w:t>
            </w:r>
          </w:p>
        </w:tc>
        <w:tc>
          <w:tcPr>
            <w:tcW w:w="156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238,271,292.15</w:t>
            </w:r>
          </w:p>
        </w:tc>
        <w:tc>
          <w:tcPr>
            <w:tcW w:w="156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 xml:space="preserve">206,488,554.26 </w:t>
            </w:r>
          </w:p>
        </w:tc>
        <w:tc>
          <w:tcPr>
            <w:tcW w:w="10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13.34%</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98.19%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hint="eastAsia"/>
                <w:sz w:val="18"/>
                <w:szCs w:val="18"/>
              </w:rPr>
              <w:t>103.16</w:t>
            </w:r>
            <w:r w:rsidRPr="00F50B51">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r w:rsidRPr="00F50B51">
              <w:rPr>
                <w:rFonts w:ascii="宋体" w:eastAsia="宋体" w:hAnsi="宋体" w:cs="宋体"/>
                <w:sz w:val="18"/>
                <w:szCs w:val="18"/>
              </w:rPr>
              <w:t>-2.12%</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公司主营业务数据统计口径在报告期发生调整的情况下，公司最近</w:t>
      </w:r>
      <w:r w:rsidRPr="00F50B51">
        <w:rPr>
          <w:rFonts w:ascii="宋体" w:eastAsia="宋体" w:hAnsi="宋体" w:cs="宋体"/>
          <w:sz w:val="18"/>
          <w:szCs w:val="18"/>
        </w:rPr>
        <w:t>1</w:t>
      </w:r>
      <w:r w:rsidRPr="00F50B51">
        <w:rPr>
          <w:rFonts w:ascii="宋体" w:eastAsia="宋体" w:hAnsi="宋体" w:cs="宋体"/>
          <w:sz w:val="18"/>
          <w:szCs w:val="18"/>
        </w:rPr>
        <w:t>期按报告期末口径调整后的主营业务数据</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2"/>
        <w:spacing w:before="300" w:after="300" w:line="320" w:lineRule="exact"/>
        <w:rPr>
          <w:rFonts w:ascii="宋体" w:eastAsia="宋体" w:hAnsi="宋体" w:cs="宋体"/>
          <w:b/>
          <w:bCs/>
          <w:sz w:val="24"/>
          <w:szCs w:val="24"/>
        </w:rPr>
      </w:pPr>
      <w:bookmarkStart w:id="17" w:name="_Toc988906"/>
      <w:r w:rsidRPr="00F50B51">
        <w:rPr>
          <w:rFonts w:ascii="宋体" w:eastAsia="宋体" w:hAnsi="宋体" w:cs="宋体"/>
          <w:b/>
          <w:bCs/>
          <w:sz w:val="24"/>
          <w:szCs w:val="24"/>
        </w:rPr>
        <w:t>四、非主营业务分析</w:t>
      </w:r>
      <w:bookmarkStart w:id="18" w:name="_GoBack"/>
      <w:bookmarkEnd w:id="17"/>
      <w:bookmarkEnd w:id="18"/>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占利润总额比例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形成原因说明</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是否具有可持续性</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投资收益</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737,207.66</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远期结售汇合约</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公允价值变动损益</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-402,604.00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远期结售汇合约</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资产减值</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-3,360,492.92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-16.45%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计提应收款项、存货坏账准备等</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营业外收入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收到违约金赔偿款等</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营业外支出</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273,886.73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主要系固定资产清理</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其他收益</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5,034,807.35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24.65%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主要系政府补助</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bl>
    <w:p w:rsidR="0058782B" w:rsidRPr="00F50B51" w:rsidRDefault="00F80EE7">
      <w:pPr>
        <w:pStyle w:val="2"/>
        <w:spacing w:before="300" w:after="300" w:line="320" w:lineRule="exact"/>
        <w:rPr>
          <w:rFonts w:ascii="宋体" w:eastAsia="宋体" w:hAnsi="宋体" w:cs="宋体"/>
          <w:b/>
          <w:bCs/>
          <w:sz w:val="24"/>
          <w:szCs w:val="24"/>
        </w:rPr>
      </w:pPr>
      <w:bookmarkStart w:id="19" w:name="_Toc988907"/>
      <w:r w:rsidRPr="00F50B51">
        <w:rPr>
          <w:rFonts w:ascii="宋体" w:eastAsia="宋体" w:hAnsi="宋体" w:cs="宋体"/>
          <w:b/>
          <w:bCs/>
          <w:sz w:val="24"/>
          <w:szCs w:val="24"/>
        </w:rPr>
        <w:t>五、资产及负债状况分析</w:t>
      </w:r>
      <w:bookmarkEnd w:id="19"/>
    </w:p>
    <w:p w:rsidR="0058782B" w:rsidRPr="00F50B51" w:rsidRDefault="00F80EE7">
      <w:pPr>
        <w:pStyle w:val="3"/>
        <w:spacing w:line="280" w:lineRule="exact"/>
        <w:jc w:val="left"/>
        <w:rPr>
          <w:rFonts w:ascii="宋体" w:hAnsi="宋体" w:cs="宋体"/>
          <w:b/>
          <w:bCs/>
        </w:rPr>
      </w:pPr>
      <w:bookmarkStart w:id="20" w:name="_Toc988908"/>
      <w:r w:rsidRPr="00F50B51">
        <w:rPr>
          <w:rFonts w:ascii="宋体" w:hAnsi="宋体" w:cs="宋体"/>
          <w:b/>
          <w:bCs/>
        </w:rPr>
        <w:t>1</w:t>
      </w:r>
      <w:r w:rsidRPr="00F50B51">
        <w:rPr>
          <w:rFonts w:ascii="宋体" w:hAnsi="宋体" w:cs="宋体"/>
          <w:b/>
          <w:bCs/>
        </w:rPr>
        <w:t>、资产构成重大变动情况</w:t>
      </w:r>
      <w:bookmarkEnd w:id="2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本报告期末</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上年末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比重增减</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重大变动说明</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占总资产比例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占总资产比例</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货币资金</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264,267,622.24</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10.92%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243,712,701.57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0.87%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无重大变动</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应收账款</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317,413,110.37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13.12%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193,849,372.89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7.99%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无重大变动</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合同资产</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无重大变动</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lastRenderedPageBreak/>
              <w:t>存货</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733,152,733.59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30.30%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767,704,893.98</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31.65%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无重大变动</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投资性房地产</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无重大变动</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长期股权投资</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无重大变动</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固定资产</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728,284,334.43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721,433,903.07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29.75%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0.35%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无重大变动</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在建工程</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34,021,419.38</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1.41%</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55,410,143.45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2.28%</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-0.87%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无重大变动</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使用权资产</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171,625.52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0.01%</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686,502.13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无重大变动</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短期借款</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456,623,086.39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18.87%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386,292,836.39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15.93%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2.94%</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无重大变动</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合同负债</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1,522,639.38</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0.06%</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6,302,744.57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0.26%</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-0.20%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无重大变动</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长期借款</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159,000,000.00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227,400,000.00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9.38%</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-2.81%</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无重大变动</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租赁负债</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无重大变动</w:t>
            </w:r>
          </w:p>
        </w:tc>
      </w:tr>
    </w:tbl>
    <w:p w:rsidR="0058782B" w:rsidRPr="00F50B51" w:rsidRDefault="00F80EE7">
      <w:pPr>
        <w:pStyle w:val="3"/>
        <w:spacing w:line="280" w:lineRule="exact"/>
        <w:jc w:val="left"/>
        <w:rPr>
          <w:rFonts w:ascii="宋体" w:hAnsi="宋体" w:cs="宋体"/>
          <w:b/>
          <w:bCs/>
        </w:rPr>
      </w:pPr>
      <w:bookmarkStart w:id="21" w:name="_Toc988909"/>
      <w:r w:rsidRPr="00F50B51">
        <w:rPr>
          <w:rFonts w:ascii="宋体" w:hAnsi="宋体" w:cs="宋体"/>
          <w:b/>
          <w:bCs/>
        </w:rPr>
        <w:t>2</w:t>
      </w:r>
      <w:r w:rsidRPr="00F50B51">
        <w:rPr>
          <w:rFonts w:ascii="宋体" w:hAnsi="宋体" w:cs="宋体"/>
          <w:b/>
          <w:bCs/>
        </w:rPr>
        <w:t>、主要境外资产情况</w:t>
      </w:r>
      <w:bookmarkEnd w:id="21"/>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3"/>
        <w:spacing w:line="280" w:lineRule="exact"/>
        <w:jc w:val="left"/>
        <w:rPr>
          <w:rFonts w:ascii="宋体" w:hAnsi="宋体" w:cs="宋体"/>
          <w:b/>
          <w:bCs/>
        </w:rPr>
      </w:pPr>
      <w:bookmarkStart w:id="22" w:name="_Toc988910"/>
      <w:r w:rsidRPr="00F50B51">
        <w:rPr>
          <w:rFonts w:ascii="宋体" w:hAnsi="宋体" w:cs="宋体"/>
          <w:b/>
          <w:bCs/>
        </w:rPr>
        <w:t>3</w:t>
      </w:r>
      <w:r w:rsidRPr="00F50B51">
        <w:rPr>
          <w:rFonts w:ascii="宋体" w:hAnsi="宋体" w:cs="宋体"/>
          <w:b/>
          <w:bCs/>
        </w:rPr>
        <w:t>、以公允价值计量的资产和负债</w:t>
      </w:r>
      <w:bookmarkEnd w:id="22"/>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本期公允价值变动损益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计入权益的累计公允价值变动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本期计提的减值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本期购买金额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本期出售金额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期末数</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金融资产</w:t>
            </w:r>
          </w:p>
        </w:tc>
        <w:tc>
          <w:tcPr>
            <w:tcW w:w="8568"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交易性金融资产（不含衍生金融资产）</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504,264.00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-402,604.00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101,660.00</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其他权益工具投资</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13,763,490.85</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13,763,490.85</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金融资产小计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14,267,754.85</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-402,604.00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13,865,150.85</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应收款项融资</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123,947,738.42</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510,858,847.86</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551,843,054.89</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82,963,531.39</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上述合计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138,215,493.27</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-402,604.00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510,858,847.86</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551,843,054.89</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96,828,682.24</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金融负债</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其他变动的内容</w:t>
      </w:r>
    </w:p>
    <w:p w:rsidR="0058782B" w:rsidRPr="00F50B51" w:rsidRDefault="00F80EE7">
      <w:pPr>
        <w:pStyle w:val="a7"/>
        <w:rPr>
          <w:sz w:val="18"/>
          <w:szCs w:val="18"/>
        </w:rPr>
      </w:pPr>
      <w:r w:rsidRPr="00F50B51">
        <w:rPr>
          <w:rFonts w:hint="eastAsia"/>
          <w:sz w:val="18"/>
          <w:szCs w:val="18"/>
        </w:rPr>
        <w:t>无</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报告期内公司主要资产计量属性是否发生重大变化</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lastRenderedPageBreak/>
        <w:t>□</w:t>
      </w:r>
      <w:r w:rsidRPr="00F50B51">
        <w:rPr>
          <w:rFonts w:ascii="宋体" w:eastAsia="宋体" w:hAnsi="宋体" w:cs="宋体"/>
          <w:sz w:val="18"/>
          <w:szCs w:val="18"/>
        </w:rPr>
        <w:t>是</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否</w:t>
      </w:r>
    </w:p>
    <w:p w:rsidR="0058782B" w:rsidRPr="00F50B51" w:rsidRDefault="00F80EE7">
      <w:pPr>
        <w:pStyle w:val="3"/>
        <w:spacing w:line="280" w:lineRule="exact"/>
        <w:jc w:val="left"/>
        <w:rPr>
          <w:rFonts w:ascii="宋体" w:hAnsi="宋体" w:cs="宋体"/>
          <w:b/>
          <w:bCs/>
        </w:rPr>
      </w:pPr>
      <w:bookmarkStart w:id="23" w:name="_Toc988911"/>
      <w:r w:rsidRPr="00F50B51">
        <w:rPr>
          <w:rFonts w:ascii="宋体" w:hAnsi="宋体" w:cs="宋体"/>
          <w:b/>
          <w:bCs/>
        </w:rPr>
        <w:t>4</w:t>
      </w:r>
      <w:r w:rsidRPr="00F50B51">
        <w:rPr>
          <w:rFonts w:ascii="宋体" w:hAnsi="宋体" w:cs="宋体"/>
          <w:b/>
          <w:bCs/>
        </w:rPr>
        <w:t>、截至报告期末的资产权利受限情况</w:t>
      </w:r>
      <w:bookmarkEnd w:id="23"/>
    </w:p>
    <w:p w:rsidR="0058782B" w:rsidRPr="00F50B51" w:rsidRDefault="00F80EE7">
      <w:pPr>
        <w:pStyle w:val="a7"/>
        <w:spacing w:before="120" w:beforeAutospacing="0" w:after="120" w:afterAutospacing="0" w:line="240" w:lineRule="atLeast"/>
        <w:ind w:right="720"/>
        <w:jc w:val="center"/>
        <w:rPr>
          <w:rFonts w:ascii="等线" w:eastAsia="等线" w:hAnsi="等线"/>
          <w:sz w:val="21"/>
          <w:szCs w:val="21"/>
        </w:rPr>
      </w:pPr>
      <w:r w:rsidRPr="00F50B51">
        <w:rPr>
          <w:rFonts w:hint="eastAsia"/>
          <w:sz w:val="18"/>
          <w:szCs w:val="18"/>
        </w:rPr>
        <w:t>   </w:t>
      </w:r>
      <w:r w:rsidRPr="00F50B51">
        <w:rPr>
          <w:rFonts w:hint="eastAsia"/>
          <w:sz w:val="18"/>
          <w:szCs w:val="18"/>
        </w:rPr>
        <w:t>单位：元</w:t>
      </w:r>
    </w:p>
    <w:tbl>
      <w:tblPr>
        <w:tblW w:w="6240" w:type="dxa"/>
        <w:tblCellMar>
          <w:top w:w="15" w:type="dxa"/>
          <w:left w:w="15" w:type="dxa"/>
          <w:bottom w:w="15" w:type="dxa"/>
          <w:right w:w="15" w:type="dxa"/>
        </w:tblCellMar>
        <w:tblLook w:val="04A0"/>
      </w:tblPr>
      <w:tblGrid>
        <w:gridCol w:w="2183"/>
        <w:gridCol w:w="2227"/>
        <w:gridCol w:w="1830"/>
      </w:tblGrid>
      <w:tr w:rsidR="0058782B" w:rsidRPr="00F50B51">
        <w:trPr>
          <w:trHeight w:val="300"/>
        </w:trPr>
        <w:tc>
          <w:tcPr>
            <w:tcW w:w="2265"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center"/>
              <w:rPr>
                <w:rFonts w:ascii="等线" w:eastAsia="等线" w:hAnsi="等线" w:cs="Times New Roman"/>
                <w:sz w:val="21"/>
                <w:szCs w:val="21"/>
              </w:rPr>
            </w:pPr>
            <w:r w:rsidRPr="00F50B51">
              <w:rPr>
                <w:rFonts w:cs="Times New Roman" w:hint="eastAsia"/>
                <w:color w:val="000000"/>
                <w:sz w:val="18"/>
                <w:szCs w:val="18"/>
              </w:rPr>
              <w:t>项</w:t>
            </w:r>
            <w:r w:rsidRPr="00F50B51">
              <w:rPr>
                <w:rFonts w:cs="Times New Roman" w:hint="eastAsia"/>
                <w:color w:val="000000"/>
                <w:sz w:val="18"/>
                <w:szCs w:val="18"/>
              </w:rPr>
              <w:t>        </w:t>
            </w:r>
            <w:r w:rsidRPr="00F50B51">
              <w:rPr>
                <w:rFonts w:cs="Times New Roman" w:hint="eastAsia"/>
                <w:color w:val="000000"/>
                <w:sz w:val="18"/>
                <w:szCs w:val="18"/>
              </w:rPr>
              <w:t>目</w:t>
            </w:r>
          </w:p>
        </w:tc>
        <w:tc>
          <w:tcPr>
            <w:tcW w:w="2445"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center"/>
              <w:rPr>
                <w:rFonts w:ascii="等线" w:eastAsia="等线" w:hAnsi="等线" w:cs="Times New Roman"/>
                <w:sz w:val="21"/>
                <w:szCs w:val="21"/>
              </w:rPr>
            </w:pPr>
            <w:r w:rsidRPr="00F50B51">
              <w:rPr>
                <w:rFonts w:cs="Times New Roman" w:hint="eastAsia"/>
                <w:color w:val="000000"/>
                <w:sz w:val="18"/>
                <w:szCs w:val="18"/>
              </w:rPr>
              <w:t>期末</w:t>
            </w:r>
          </w:p>
        </w:tc>
        <w:tc>
          <w:tcPr>
            <w:tcW w:w="1530" w:type="dxa"/>
            <w:vMerge w:val="restart"/>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center"/>
              <w:rPr>
                <w:rFonts w:ascii="等线" w:eastAsia="等线" w:hAnsi="等线" w:cs="Times New Roman"/>
                <w:sz w:val="21"/>
                <w:szCs w:val="21"/>
              </w:rPr>
            </w:pPr>
            <w:r w:rsidRPr="00F50B51">
              <w:rPr>
                <w:rFonts w:cs="Times New Roman" w:hint="eastAsia"/>
                <w:color w:val="000000"/>
                <w:sz w:val="18"/>
                <w:szCs w:val="18"/>
              </w:rPr>
              <w:t>受</w:t>
            </w:r>
            <w:r w:rsidRPr="00F50B51">
              <w:rPr>
                <w:rFonts w:cs="Times New Roman" w:hint="eastAsia"/>
                <w:color w:val="000000"/>
                <w:sz w:val="18"/>
                <w:szCs w:val="18"/>
              </w:rPr>
              <w:t>  </w:t>
            </w:r>
            <w:r w:rsidRPr="00F50B51">
              <w:rPr>
                <w:rFonts w:cs="Times New Roman" w:hint="eastAsia"/>
                <w:color w:val="000000"/>
                <w:sz w:val="18"/>
                <w:szCs w:val="18"/>
              </w:rPr>
              <w:t>限</w:t>
            </w:r>
            <w:r w:rsidRPr="00F50B51">
              <w:rPr>
                <w:rFonts w:cs="Times New Roman" w:hint="eastAsia"/>
                <w:color w:val="000000"/>
                <w:sz w:val="18"/>
                <w:szCs w:val="18"/>
              </w:rPr>
              <w:t>  </w:t>
            </w:r>
            <w:r w:rsidRPr="00F50B51">
              <w:rPr>
                <w:rFonts w:cs="Times New Roman" w:hint="eastAsia"/>
                <w:color w:val="000000"/>
                <w:sz w:val="18"/>
                <w:szCs w:val="18"/>
              </w:rPr>
              <w:t>原</w:t>
            </w:r>
            <w:r w:rsidRPr="00F50B51">
              <w:rPr>
                <w:rFonts w:cs="Times New Roman" w:hint="eastAsia"/>
                <w:color w:val="000000"/>
                <w:sz w:val="18"/>
                <w:szCs w:val="18"/>
              </w:rPr>
              <w:t>  </w:t>
            </w:r>
            <w:r w:rsidRPr="00F50B51">
              <w:rPr>
                <w:rFonts w:cs="Times New Roman" w:hint="eastAsia"/>
                <w:color w:val="000000"/>
                <w:sz w:val="18"/>
                <w:szCs w:val="18"/>
              </w:rPr>
              <w:t>因</w:t>
            </w:r>
          </w:p>
        </w:tc>
      </w:tr>
      <w:tr w:rsidR="0058782B" w:rsidRPr="00F50B51">
        <w:trPr>
          <w:trHeight w:val="300"/>
        </w:trPr>
        <w:tc>
          <w:tcPr>
            <w:tcW w:w="0" w:type="auto"/>
            <w:vMerge/>
            <w:tcBorders>
              <w:top w:val="single" w:sz="8" w:space="0" w:color="auto"/>
              <w:left w:val="single" w:sz="8" w:space="0" w:color="auto"/>
              <w:bottom w:val="single" w:sz="8" w:space="0" w:color="auto"/>
              <w:right w:val="single" w:sz="8" w:space="0" w:color="auto"/>
            </w:tcBorders>
            <w:vAlign w:val="center"/>
          </w:tcPr>
          <w:p w:rsidR="0058782B" w:rsidRPr="00F50B51" w:rsidRDefault="0058782B">
            <w:pPr>
              <w:rPr>
                <w:rFonts w:ascii="等线" w:eastAsia="等线" w:hAnsi="等线" w:cs="Times New Roman"/>
                <w:szCs w:val="21"/>
              </w:rPr>
            </w:pPr>
          </w:p>
        </w:tc>
        <w:tc>
          <w:tcPr>
            <w:tcW w:w="2445"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center"/>
              <w:rPr>
                <w:rFonts w:ascii="等线" w:eastAsia="等线" w:hAnsi="等线" w:cs="Times New Roman"/>
                <w:sz w:val="21"/>
                <w:szCs w:val="21"/>
              </w:rPr>
            </w:pPr>
            <w:r w:rsidRPr="00F50B51">
              <w:rPr>
                <w:rFonts w:cs="Times New Roman" w:hint="eastAsia"/>
                <w:color w:val="000000"/>
                <w:sz w:val="18"/>
                <w:szCs w:val="18"/>
              </w:rPr>
              <w:t>账面价值</w:t>
            </w:r>
          </w:p>
        </w:tc>
        <w:tc>
          <w:tcPr>
            <w:tcW w:w="0" w:type="auto"/>
            <w:vMerge/>
            <w:tcBorders>
              <w:top w:val="single" w:sz="8" w:space="0" w:color="auto"/>
              <w:left w:val="nil"/>
              <w:bottom w:val="single" w:sz="8" w:space="0" w:color="auto"/>
              <w:right w:val="single" w:sz="8" w:space="0" w:color="auto"/>
            </w:tcBorders>
            <w:vAlign w:val="center"/>
          </w:tcPr>
          <w:p w:rsidR="0058782B" w:rsidRPr="00F50B51" w:rsidRDefault="0058782B">
            <w:pPr>
              <w:rPr>
                <w:rFonts w:ascii="等线" w:eastAsia="等线" w:hAnsi="等线" w:cs="Times New Roman"/>
                <w:szCs w:val="21"/>
              </w:rPr>
            </w:pPr>
          </w:p>
        </w:tc>
      </w:tr>
      <w:tr w:rsidR="0058782B" w:rsidRPr="00F50B51">
        <w:trPr>
          <w:trHeight w:val="624"/>
        </w:trPr>
        <w:tc>
          <w:tcPr>
            <w:tcW w:w="2265"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both"/>
              <w:rPr>
                <w:rFonts w:ascii="等线" w:eastAsia="等线" w:hAnsi="等线" w:cs="Times New Roman"/>
                <w:sz w:val="21"/>
                <w:szCs w:val="21"/>
              </w:rPr>
            </w:pPr>
            <w:r w:rsidRPr="00F50B51">
              <w:rPr>
                <w:rFonts w:cs="Times New Roman" w:hint="eastAsia"/>
                <w:color w:val="000000"/>
                <w:sz w:val="18"/>
                <w:szCs w:val="18"/>
              </w:rPr>
              <w:t>货币资金</w:t>
            </w:r>
            <w:r w:rsidRPr="00F50B51">
              <w:rPr>
                <w:rFonts w:cs="Times New Roman" w:hint="eastAsia"/>
                <w:color w:val="000000"/>
                <w:sz w:val="18"/>
                <w:szCs w:val="18"/>
              </w:rPr>
              <w:t>-</w:t>
            </w:r>
            <w:r w:rsidRPr="00F50B51">
              <w:rPr>
                <w:rFonts w:cs="Times New Roman" w:hint="eastAsia"/>
                <w:color w:val="000000"/>
                <w:sz w:val="18"/>
                <w:szCs w:val="18"/>
              </w:rPr>
              <w:t>其他货币资金</w:t>
            </w:r>
          </w:p>
        </w:tc>
        <w:tc>
          <w:tcPr>
            <w:tcW w:w="2445" w:type="dxa"/>
            <w:tcBorders>
              <w:top w:val="nil"/>
              <w:left w:val="nil"/>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right"/>
              <w:rPr>
                <w:rFonts w:ascii="等线" w:eastAsia="等线" w:hAnsi="等线" w:cs="Times New Roman"/>
                <w:sz w:val="21"/>
                <w:szCs w:val="21"/>
              </w:rPr>
            </w:pPr>
            <w:r w:rsidRPr="00F50B51">
              <w:rPr>
                <w:rFonts w:cs="Times New Roman" w:hint="eastAsia"/>
                <w:color w:val="000000"/>
                <w:sz w:val="18"/>
                <w:szCs w:val="18"/>
              </w:rPr>
              <w:t>92,919,178.70</w:t>
            </w:r>
          </w:p>
        </w:tc>
        <w:tc>
          <w:tcPr>
            <w:tcW w:w="1530" w:type="dxa"/>
            <w:tcBorders>
              <w:top w:val="nil"/>
              <w:left w:val="nil"/>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both"/>
              <w:rPr>
                <w:rFonts w:ascii="等线" w:eastAsia="等线" w:hAnsi="等线" w:cs="Times New Roman"/>
                <w:sz w:val="21"/>
                <w:szCs w:val="21"/>
              </w:rPr>
            </w:pPr>
            <w:r w:rsidRPr="00F50B51">
              <w:rPr>
                <w:rFonts w:cs="Times New Roman" w:hint="eastAsia"/>
                <w:color w:val="000000"/>
                <w:sz w:val="18"/>
                <w:szCs w:val="18"/>
              </w:rPr>
              <w:t>为本公司银行承兑汇票设置质押担保</w:t>
            </w:r>
          </w:p>
        </w:tc>
      </w:tr>
      <w:tr w:rsidR="0058782B" w:rsidRPr="00F50B51">
        <w:trPr>
          <w:trHeight w:val="624"/>
        </w:trPr>
        <w:tc>
          <w:tcPr>
            <w:tcW w:w="2265"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both"/>
              <w:rPr>
                <w:rFonts w:ascii="等线" w:eastAsia="等线" w:hAnsi="等线" w:cs="Times New Roman"/>
                <w:sz w:val="21"/>
                <w:szCs w:val="21"/>
              </w:rPr>
            </w:pPr>
            <w:r w:rsidRPr="00F50B51">
              <w:rPr>
                <w:rFonts w:cs="Times New Roman" w:hint="eastAsia"/>
                <w:color w:val="000000"/>
                <w:sz w:val="18"/>
                <w:szCs w:val="18"/>
              </w:rPr>
              <w:t>固定资产</w:t>
            </w:r>
            <w:r w:rsidRPr="00F50B51">
              <w:rPr>
                <w:rFonts w:cs="Times New Roman" w:hint="eastAsia"/>
                <w:color w:val="000000"/>
                <w:sz w:val="18"/>
                <w:szCs w:val="18"/>
              </w:rPr>
              <w:t>-</w:t>
            </w:r>
            <w:r w:rsidRPr="00F50B51">
              <w:rPr>
                <w:rFonts w:cs="Times New Roman" w:hint="eastAsia"/>
                <w:color w:val="000000"/>
                <w:sz w:val="18"/>
                <w:szCs w:val="18"/>
              </w:rPr>
              <w:t>房屋建筑物</w:t>
            </w:r>
          </w:p>
        </w:tc>
        <w:tc>
          <w:tcPr>
            <w:tcW w:w="2445" w:type="dxa"/>
            <w:tcBorders>
              <w:top w:val="nil"/>
              <w:left w:val="nil"/>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right"/>
              <w:rPr>
                <w:rFonts w:ascii="等线" w:eastAsia="等线" w:hAnsi="等线" w:cs="Times New Roman"/>
                <w:sz w:val="21"/>
                <w:szCs w:val="21"/>
              </w:rPr>
            </w:pPr>
            <w:r w:rsidRPr="00F50B51">
              <w:rPr>
                <w:rFonts w:cs="Times New Roman" w:hint="eastAsia"/>
                <w:color w:val="000000"/>
                <w:sz w:val="18"/>
                <w:szCs w:val="18"/>
              </w:rPr>
              <w:t>60,633,411.90</w:t>
            </w:r>
          </w:p>
        </w:tc>
        <w:tc>
          <w:tcPr>
            <w:tcW w:w="1530" w:type="dxa"/>
            <w:tcBorders>
              <w:top w:val="nil"/>
              <w:left w:val="nil"/>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both"/>
              <w:rPr>
                <w:rFonts w:ascii="等线" w:eastAsia="等线" w:hAnsi="等线" w:cs="Times New Roman"/>
                <w:sz w:val="21"/>
                <w:szCs w:val="21"/>
              </w:rPr>
            </w:pPr>
            <w:r w:rsidRPr="00F50B51">
              <w:rPr>
                <w:rFonts w:cs="Times New Roman" w:hint="eastAsia"/>
                <w:color w:val="000000"/>
                <w:sz w:val="18"/>
                <w:szCs w:val="18"/>
              </w:rPr>
              <w:t>为本公司银行借款设置抵押担保</w:t>
            </w:r>
          </w:p>
        </w:tc>
      </w:tr>
      <w:tr w:rsidR="0058782B" w:rsidRPr="00F50B51">
        <w:trPr>
          <w:trHeight w:val="828"/>
        </w:trPr>
        <w:tc>
          <w:tcPr>
            <w:tcW w:w="2265"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both"/>
              <w:rPr>
                <w:rFonts w:ascii="等线" w:eastAsia="等线" w:hAnsi="等线" w:cs="Times New Roman"/>
                <w:sz w:val="21"/>
                <w:szCs w:val="21"/>
              </w:rPr>
            </w:pPr>
            <w:r w:rsidRPr="00F50B51">
              <w:rPr>
                <w:rFonts w:cs="Times New Roman" w:hint="eastAsia"/>
                <w:color w:val="000000"/>
                <w:sz w:val="18"/>
                <w:szCs w:val="18"/>
              </w:rPr>
              <w:t>无形资产</w:t>
            </w:r>
            <w:r w:rsidRPr="00F50B51">
              <w:rPr>
                <w:rFonts w:cs="Times New Roman" w:hint="eastAsia"/>
                <w:color w:val="000000"/>
                <w:sz w:val="18"/>
                <w:szCs w:val="18"/>
              </w:rPr>
              <w:t>-</w:t>
            </w:r>
            <w:r w:rsidRPr="00F50B51">
              <w:rPr>
                <w:rFonts w:cs="Times New Roman" w:hint="eastAsia"/>
                <w:color w:val="000000"/>
                <w:sz w:val="18"/>
                <w:szCs w:val="18"/>
              </w:rPr>
              <w:t>土地使用权</w:t>
            </w:r>
          </w:p>
        </w:tc>
        <w:tc>
          <w:tcPr>
            <w:tcW w:w="2445" w:type="dxa"/>
            <w:tcBorders>
              <w:top w:val="nil"/>
              <w:left w:val="nil"/>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right"/>
              <w:rPr>
                <w:rFonts w:ascii="等线" w:eastAsia="等线" w:hAnsi="等线" w:cs="Times New Roman"/>
                <w:sz w:val="21"/>
                <w:szCs w:val="21"/>
              </w:rPr>
            </w:pPr>
            <w:r w:rsidRPr="00F50B51">
              <w:rPr>
                <w:rFonts w:cs="Times New Roman" w:hint="eastAsia"/>
                <w:color w:val="000000"/>
                <w:sz w:val="18"/>
                <w:szCs w:val="18"/>
              </w:rPr>
              <w:t>49,265,132.65</w:t>
            </w:r>
          </w:p>
        </w:tc>
        <w:tc>
          <w:tcPr>
            <w:tcW w:w="1530" w:type="dxa"/>
            <w:tcBorders>
              <w:top w:val="nil"/>
              <w:left w:val="nil"/>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both"/>
              <w:rPr>
                <w:rFonts w:ascii="等线" w:eastAsia="等线" w:hAnsi="等线" w:cs="Times New Roman"/>
                <w:sz w:val="21"/>
                <w:szCs w:val="21"/>
              </w:rPr>
            </w:pPr>
            <w:r w:rsidRPr="00F50B51">
              <w:rPr>
                <w:rFonts w:cs="Times New Roman" w:hint="eastAsia"/>
                <w:color w:val="000000"/>
                <w:sz w:val="18"/>
                <w:szCs w:val="18"/>
              </w:rPr>
              <w:t>为本公司银行借款及银行承兑汇票设置抵押担保</w:t>
            </w:r>
          </w:p>
        </w:tc>
      </w:tr>
      <w:tr w:rsidR="0058782B" w:rsidRPr="00F50B51">
        <w:trPr>
          <w:trHeight w:val="624"/>
        </w:trPr>
        <w:tc>
          <w:tcPr>
            <w:tcW w:w="2265"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both"/>
              <w:rPr>
                <w:rFonts w:ascii="等线" w:eastAsia="等线" w:hAnsi="等线" w:cs="Times New Roman"/>
                <w:sz w:val="21"/>
                <w:szCs w:val="21"/>
              </w:rPr>
            </w:pPr>
            <w:r w:rsidRPr="00F50B51">
              <w:rPr>
                <w:rFonts w:cs="Times New Roman" w:hint="eastAsia"/>
                <w:color w:val="000000"/>
                <w:sz w:val="18"/>
                <w:szCs w:val="18"/>
              </w:rPr>
              <w:t>长期股权投资</w:t>
            </w:r>
            <w:r w:rsidRPr="00F50B51">
              <w:rPr>
                <w:rFonts w:cs="Times New Roman" w:hint="eastAsia"/>
                <w:color w:val="000000"/>
                <w:sz w:val="18"/>
                <w:szCs w:val="18"/>
              </w:rPr>
              <w:t>-</w:t>
            </w:r>
            <w:r w:rsidRPr="00F50B51">
              <w:rPr>
                <w:rFonts w:cs="Times New Roman" w:hint="eastAsia"/>
                <w:color w:val="000000"/>
                <w:sz w:val="18"/>
                <w:szCs w:val="18"/>
              </w:rPr>
              <w:t>子公司股权</w:t>
            </w:r>
          </w:p>
        </w:tc>
        <w:tc>
          <w:tcPr>
            <w:tcW w:w="2445" w:type="dxa"/>
            <w:tcBorders>
              <w:top w:val="nil"/>
              <w:left w:val="nil"/>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right"/>
              <w:rPr>
                <w:rFonts w:ascii="等线" w:eastAsia="等线" w:hAnsi="等线" w:cs="Times New Roman"/>
                <w:sz w:val="21"/>
                <w:szCs w:val="21"/>
              </w:rPr>
            </w:pPr>
            <w:r w:rsidRPr="00F50B51">
              <w:rPr>
                <w:rFonts w:cs="Times New Roman" w:hint="eastAsia"/>
                <w:color w:val="000000"/>
                <w:sz w:val="18"/>
                <w:szCs w:val="18"/>
              </w:rPr>
              <w:t>275,000,000.00</w:t>
            </w:r>
          </w:p>
        </w:tc>
        <w:tc>
          <w:tcPr>
            <w:tcW w:w="1530" w:type="dxa"/>
            <w:tcBorders>
              <w:top w:val="nil"/>
              <w:left w:val="nil"/>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both"/>
              <w:rPr>
                <w:rFonts w:ascii="等线" w:eastAsia="等线" w:hAnsi="等线" w:cs="Times New Roman"/>
                <w:sz w:val="21"/>
                <w:szCs w:val="21"/>
              </w:rPr>
            </w:pPr>
            <w:r w:rsidRPr="00F50B51">
              <w:rPr>
                <w:rFonts w:cs="Times New Roman" w:hint="eastAsia"/>
                <w:color w:val="000000"/>
                <w:sz w:val="18"/>
                <w:szCs w:val="18"/>
              </w:rPr>
              <w:t>为本公司银行借款设置质押担保</w:t>
            </w:r>
          </w:p>
        </w:tc>
      </w:tr>
      <w:tr w:rsidR="0058782B" w:rsidRPr="00F50B51">
        <w:trPr>
          <w:trHeight w:val="240"/>
        </w:trPr>
        <w:tc>
          <w:tcPr>
            <w:tcW w:w="2265"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center"/>
              <w:rPr>
                <w:rFonts w:ascii="等线" w:eastAsia="等线" w:hAnsi="等线" w:cs="Times New Roman"/>
                <w:sz w:val="21"/>
                <w:szCs w:val="21"/>
              </w:rPr>
            </w:pPr>
            <w:r w:rsidRPr="00F50B51">
              <w:rPr>
                <w:rFonts w:cs="Times New Roman" w:hint="eastAsia"/>
                <w:color w:val="000000"/>
                <w:sz w:val="18"/>
                <w:szCs w:val="18"/>
              </w:rPr>
              <w:t>合</w:t>
            </w:r>
            <w:r w:rsidRPr="00F50B51">
              <w:rPr>
                <w:rFonts w:cs="Times New Roman" w:hint="eastAsia"/>
                <w:color w:val="000000"/>
                <w:sz w:val="18"/>
                <w:szCs w:val="18"/>
              </w:rPr>
              <w:t>   </w:t>
            </w:r>
            <w:r w:rsidRPr="00F50B51">
              <w:rPr>
                <w:rFonts w:cs="Times New Roman" w:hint="eastAsia"/>
                <w:color w:val="000000"/>
                <w:sz w:val="18"/>
                <w:szCs w:val="18"/>
              </w:rPr>
              <w:t>计</w:t>
            </w:r>
          </w:p>
        </w:tc>
        <w:tc>
          <w:tcPr>
            <w:tcW w:w="2445" w:type="dxa"/>
            <w:tcBorders>
              <w:top w:val="nil"/>
              <w:left w:val="nil"/>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right"/>
              <w:rPr>
                <w:rFonts w:ascii="等线" w:eastAsia="等线" w:hAnsi="等线" w:cs="Times New Roman"/>
                <w:sz w:val="21"/>
                <w:szCs w:val="21"/>
              </w:rPr>
            </w:pPr>
            <w:r w:rsidRPr="00F50B51">
              <w:rPr>
                <w:rFonts w:cs="Times New Roman" w:hint="eastAsia"/>
                <w:color w:val="000000"/>
                <w:sz w:val="18"/>
                <w:szCs w:val="18"/>
              </w:rPr>
              <w:t>477,817,723.25</w:t>
            </w:r>
          </w:p>
        </w:tc>
        <w:tc>
          <w:tcPr>
            <w:tcW w:w="1530" w:type="dxa"/>
            <w:tcBorders>
              <w:top w:val="nil"/>
              <w:left w:val="nil"/>
              <w:bottom w:val="single" w:sz="8" w:space="0" w:color="auto"/>
              <w:right w:val="single" w:sz="8" w:space="0" w:color="auto"/>
            </w:tcBorders>
            <w:tcMar>
              <w:top w:w="15" w:type="dxa"/>
              <w:left w:w="15" w:type="dxa"/>
              <w:bottom w:w="0" w:type="dxa"/>
              <w:right w:w="15" w:type="dxa"/>
            </w:tcMar>
            <w:vAlign w:val="center"/>
          </w:tcPr>
          <w:p w:rsidR="0058782B" w:rsidRPr="00F50B51" w:rsidRDefault="00F80EE7">
            <w:pPr>
              <w:pStyle w:val="a7"/>
              <w:spacing w:before="0" w:beforeAutospacing="0" w:after="0" w:afterAutospacing="0"/>
              <w:jc w:val="both"/>
              <w:rPr>
                <w:rFonts w:ascii="等线" w:eastAsia="等线" w:hAnsi="等线" w:cs="Times New Roman"/>
                <w:sz w:val="21"/>
                <w:szCs w:val="21"/>
              </w:rPr>
            </w:pPr>
            <w:r w:rsidRPr="00F50B51">
              <w:rPr>
                <w:rFonts w:cs="Times New Roman" w:hint="eastAsia"/>
                <w:color w:val="000000"/>
                <w:sz w:val="18"/>
                <w:szCs w:val="18"/>
              </w:rPr>
              <w:t> </w:t>
            </w:r>
          </w:p>
        </w:tc>
      </w:tr>
    </w:tbl>
    <w:p w:rsidR="0058782B" w:rsidRPr="00F50B51" w:rsidRDefault="0058782B">
      <w:pPr>
        <w:rPr>
          <w:rFonts w:ascii="宋体" w:eastAsia="宋体" w:hAnsi="宋体"/>
          <w:sz w:val="24"/>
          <w:szCs w:val="24"/>
        </w:rPr>
      </w:pPr>
    </w:p>
    <w:p w:rsidR="0058782B" w:rsidRPr="00F50B51" w:rsidRDefault="00F80EE7">
      <w:pPr>
        <w:pStyle w:val="2"/>
        <w:spacing w:before="300" w:after="300" w:line="320" w:lineRule="exact"/>
        <w:rPr>
          <w:rFonts w:ascii="宋体" w:eastAsia="宋体" w:hAnsi="宋体" w:cs="宋体"/>
          <w:b/>
          <w:bCs/>
          <w:sz w:val="24"/>
          <w:szCs w:val="24"/>
        </w:rPr>
      </w:pPr>
      <w:bookmarkStart w:id="24" w:name="_Toc988912"/>
      <w:r w:rsidRPr="00F50B51">
        <w:rPr>
          <w:rFonts w:ascii="宋体" w:eastAsia="宋体" w:hAnsi="宋体" w:cs="宋体"/>
          <w:b/>
          <w:bCs/>
          <w:sz w:val="24"/>
          <w:szCs w:val="24"/>
        </w:rPr>
        <w:t>六、投资状况分析</w:t>
      </w:r>
      <w:bookmarkEnd w:id="24"/>
    </w:p>
    <w:p w:rsidR="0058782B" w:rsidRPr="00F50B51" w:rsidRDefault="00F80EE7">
      <w:pPr>
        <w:pStyle w:val="3"/>
        <w:spacing w:line="280" w:lineRule="exact"/>
        <w:jc w:val="left"/>
        <w:rPr>
          <w:rFonts w:ascii="宋体" w:hAnsi="宋体" w:cs="宋体"/>
          <w:b/>
          <w:bCs/>
        </w:rPr>
      </w:pPr>
      <w:bookmarkStart w:id="25" w:name="_Toc988913"/>
      <w:r w:rsidRPr="00F50B51">
        <w:rPr>
          <w:rFonts w:ascii="宋体" w:hAnsi="宋体" w:cs="宋体"/>
          <w:b/>
          <w:bCs/>
        </w:rPr>
        <w:t>1</w:t>
      </w:r>
      <w:r w:rsidRPr="00F50B51">
        <w:rPr>
          <w:rFonts w:ascii="宋体" w:hAnsi="宋体" w:cs="宋体"/>
          <w:b/>
          <w:bCs/>
        </w:rPr>
        <w:t>、总体情况</w:t>
      </w:r>
      <w:bookmarkEnd w:id="25"/>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报告期投资额（元）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上年同期投资额（元）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变动幅度</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15,152,319.28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122,917,068.84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-87.68%</w:t>
            </w:r>
          </w:p>
        </w:tc>
      </w:tr>
    </w:tbl>
    <w:p w:rsidR="0058782B" w:rsidRPr="00F50B51" w:rsidRDefault="00F80EE7">
      <w:pPr>
        <w:pStyle w:val="3"/>
        <w:spacing w:line="280" w:lineRule="exact"/>
        <w:jc w:val="left"/>
        <w:rPr>
          <w:rFonts w:ascii="宋体" w:hAnsi="宋体" w:cs="宋体"/>
          <w:b/>
          <w:bCs/>
        </w:rPr>
      </w:pPr>
      <w:bookmarkStart w:id="26" w:name="_Toc988914"/>
      <w:r w:rsidRPr="00F50B51">
        <w:rPr>
          <w:rFonts w:ascii="宋体" w:hAnsi="宋体" w:cs="宋体"/>
          <w:b/>
          <w:bCs/>
        </w:rPr>
        <w:t>2</w:t>
      </w:r>
      <w:r w:rsidRPr="00F50B51">
        <w:rPr>
          <w:rFonts w:ascii="宋体" w:hAnsi="宋体" w:cs="宋体"/>
          <w:b/>
          <w:bCs/>
        </w:rPr>
        <w:t>、报告期内获取的重大的股权投资情况</w:t>
      </w:r>
      <w:bookmarkEnd w:id="26"/>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42"/>
        <w:gridCol w:w="642"/>
        <w:gridCol w:w="642"/>
        <w:gridCol w:w="642"/>
        <w:gridCol w:w="642"/>
        <w:gridCol w:w="642"/>
        <w:gridCol w:w="643"/>
        <w:gridCol w:w="643"/>
        <w:gridCol w:w="643"/>
        <w:gridCol w:w="643"/>
        <w:gridCol w:w="643"/>
        <w:gridCol w:w="643"/>
        <w:gridCol w:w="643"/>
        <w:gridCol w:w="643"/>
        <w:gridCol w:w="643"/>
      </w:tblGrid>
      <w:tr w:rsidR="0058782B" w:rsidRPr="00F50B51">
        <w:trPr>
          <w:trHeight w:val="240"/>
        </w:trPr>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被投资公司名称</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主要业务</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投资方式</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投资金额</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持股比例</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资金来源</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合作方</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投资期限</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产品类型</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截至资产负债表日的进展情况</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预计收益</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本期投资盈亏</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是否涉诉</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披露日期（如有）</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披露索引（如有）</w:t>
            </w:r>
          </w:p>
        </w:tc>
      </w:tr>
      <w:tr w:rsidR="0058782B" w:rsidRPr="00F50B51">
        <w:trPr>
          <w:trHeight w:val="240"/>
        </w:trPr>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鹭精密</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制造有</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限公司</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硬质合</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金精密</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切削刀</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具产品</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研究、</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开发、</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销售及</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提供相</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关技术</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服务。</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（依法</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须经批</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准的项</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目，经</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相关部</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门批准</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后方可</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开展经</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营活</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动）</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增资</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5,345,022.98</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募集资金</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长期</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股权投资</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已完成</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lastRenderedPageBreak/>
              <w:t>合计</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5,345,022.98</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64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r>
    </w:tbl>
    <w:p w:rsidR="0058782B" w:rsidRPr="00F50B51" w:rsidRDefault="00F80EE7">
      <w:pPr>
        <w:pStyle w:val="3"/>
        <w:spacing w:line="280" w:lineRule="exact"/>
        <w:jc w:val="left"/>
        <w:rPr>
          <w:rFonts w:ascii="宋体" w:hAnsi="宋体" w:cs="宋体"/>
          <w:b/>
          <w:bCs/>
        </w:rPr>
      </w:pPr>
      <w:bookmarkStart w:id="27" w:name="_Toc988915"/>
      <w:r w:rsidRPr="00F50B51">
        <w:rPr>
          <w:rFonts w:ascii="宋体" w:hAnsi="宋体" w:cs="宋体"/>
          <w:b/>
          <w:bCs/>
        </w:rPr>
        <w:t>3</w:t>
      </w:r>
      <w:r w:rsidRPr="00F50B51">
        <w:rPr>
          <w:rFonts w:ascii="宋体" w:hAnsi="宋体" w:cs="宋体"/>
          <w:b/>
          <w:bCs/>
        </w:rPr>
        <w:t>、报告期内正在进行的重大的非股权投资情况</w:t>
      </w:r>
      <w:bookmarkEnd w:id="27"/>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3"/>
        <w:spacing w:line="280" w:lineRule="exact"/>
        <w:jc w:val="left"/>
        <w:rPr>
          <w:rFonts w:ascii="宋体" w:hAnsi="宋体" w:cs="宋体"/>
          <w:b/>
          <w:bCs/>
        </w:rPr>
      </w:pPr>
      <w:bookmarkStart w:id="28" w:name="_Toc988916"/>
      <w:r w:rsidRPr="00F50B51">
        <w:rPr>
          <w:rFonts w:ascii="宋体" w:hAnsi="宋体" w:cs="宋体"/>
          <w:b/>
          <w:bCs/>
        </w:rPr>
        <w:t>4</w:t>
      </w:r>
      <w:r w:rsidRPr="00F50B51">
        <w:rPr>
          <w:rFonts w:ascii="宋体" w:hAnsi="宋体" w:cs="宋体"/>
          <w:b/>
          <w:bCs/>
        </w:rPr>
        <w:t>、金融资产投资</w:t>
      </w:r>
      <w:bookmarkEnd w:id="28"/>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29" w:name="_Toc988917"/>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证券投资情况</w:t>
      </w:r>
      <w:bookmarkEnd w:id="29"/>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公司报告期不存在证券投资。</w:t>
      </w: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0" w:name="_Toc988918"/>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衍生品投资情况</w:t>
      </w:r>
      <w:bookmarkEnd w:id="30"/>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公司报告期不存在衍生品投资。</w:t>
      </w:r>
    </w:p>
    <w:p w:rsidR="0058782B" w:rsidRPr="00F50B51" w:rsidRDefault="00F80EE7">
      <w:pPr>
        <w:pStyle w:val="3"/>
        <w:spacing w:line="280" w:lineRule="exact"/>
        <w:jc w:val="left"/>
        <w:rPr>
          <w:rFonts w:ascii="宋体" w:hAnsi="宋体" w:cs="宋体"/>
          <w:b/>
          <w:bCs/>
        </w:rPr>
      </w:pPr>
      <w:bookmarkStart w:id="31" w:name="_Toc988919"/>
      <w:r w:rsidRPr="00F50B51">
        <w:rPr>
          <w:rFonts w:ascii="宋体" w:hAnsi="宋体" w:cs="宋体"/>
          <w:b/>
          <w:bCs/>
        </w:rPr>
        <w:t>5</w:t>
      </w:r>
      <w:r w:rsidRPr="00F50B51">
        <w:rPr>
          <w:rFonts w:ascii="宋体" w:hAnsi="宋体" w:cs="宋体"/>
          <w:b/>
          <w:bCs/>
        </w:rPr>
        <w:t>、募集资金使用情况</w:t>
      </w:r>
      <w:bookmarkEnd w:id="31"/>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2" w:name="_Toc988920"/>
      <w:r w:rsidRPr="00F50B51">
        <w:rPr>
          <w:rFonts w:ascii="宋体" w:eastAsia="宋体" w:hAnsi="宋体" w:cs="宋体"/>
          <w:b/>
          <w:bCs/>
          <w:sz w:val="18"/>
          <w:szCs w:val="18"/>
        </w:rPr>
        <w:lastRenderedPageBreak/>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募集资金总体使用情况</w:t>
      </w:r>
      <w:bookmarkEnd w:id="32"/>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单位：万元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6"/>
        <w:gridCol w:w="876"/>
        <w:gridCol w:w="876"/>
        <w:gridCol w:w="876"/>
        <w:gridCol w:w="876"/>
        <w:gridCol w:w="876"/>
        <w:gridCol w:w="876"/>
        <w:gridCol w:w="876"/>
        <w:gridCol w:w="876"/>
        <w:gridCol w:w="876"/>
        <w:gridCol w:w="879"/>
      </w:tblGrid>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募集年份</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募集方式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本期已使用募集资金总额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已累计使用募集资金总额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报告期内变更用途的募集资金总额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累计变更用途的募集资金总额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累计变更用途的募集资金总额比例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尚未使用募集资金总额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尚未使用募集资金用途及去向</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闲置两年以上募集资金金额</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2019</w:t>
            </w:r>
            <w:r w:rsidRPr="00F50B51">
              <w:rPr>
                <w:rFonts w:ascii="宋体" w:eastAsia="宋体" w:hAnsi="宋体" w:cs="宋体"/>
                <w:sz w:val="18"/>
                <w:szCs w:val="18"/>
              </w:rPr>
              <w:t>年</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可转换债券</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29,020.21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980.73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26,120.02</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3,341.16</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募集资金投资项目建设及永久性补流</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29,020.21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980.73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26,120.02</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3,341.16</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r>
      <w:tr w:rsidR="0058782B" w:rsidRPr="00F50B51">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募集资金总体使用情况说明</w:t>
            </w:r>
          </w:p>
        </w:tc>
      </w:tr>
      <w:tr w:rsidR="0058782B" w:rsidRPr="00F50B51">
        <w:trPr>
          <w:trHeight w:val="240"/>
        </w:trPr>
        <w:tc>
          <w:tcPr>
            <w:tcW w:w="9639" w:type="dxa"/>
            <w:gridSpan w:val="11"/>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截至</w:t>
            </w: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日止，公司公开发行可转换公司债券募集资金累计直接投入募投项目人民币</w:t>
            </w:r>
            <w:r w:rsidRPr="00F50B51">
              <w:rPr>
                <w:rFonts w:ascii="宋体" w:eastAsia="宋体" w:hAnsi="宋体" w:cs="宋体"/>
                <w:sz w:val="18"/>
                <w:szCs w:val="18"/>
              </w:rPr>
              <w:t>72,333,301.12</w:t>
            </w:r>
            <w:r w:rsidRPr="00F50B51">
              <w:rPr>
                <w:rFonts w:ascii="宋体" w:eastAsia="宋体" w:hAnsi="宋体" w:cs="宋体"/>
                <w:sz w:val="18"/>
                <w:szCs w:val="18"/>
              </w:rPr>
              <w:t>元，置换前期投入资金人民币</w:t>
            </w:r>
            <w:r w:rsidRPr="00F50B51">
              <w:rPr>
                <w:rFonts w:ascii="宋体" w:eastAsia="宋体" w:hAnsi="宋体" w:cs="宋体"/>
                <w:sz w:val="18"/>
                <w:szCs w:val="18"/>
              </w:rPr>
              <w:t>40,856,889.03</w:t>
            </w:r>
            <w:r w:rsidRPr="00F50B51">
              <w:rPr>
                <w:rFonts w:ascii="宋体" w:eastAsia="宋体" w:hAnsi="宋体" w:cs="宋体"/>
                <w:sz w:val="18"/>
                <w:szCs w:val="18"/>
              </w:rPr>
              <w:t>元，加上扣除手续费后累计利息收入净额人民币</w:t>
            </w:r>
            <w:r w:rsidRPr="00F50B51">
              <w:rPr>
                <w:rFonts w:ascii="宋体" w:eastAsia="宋体" w:hAnsi="宋体" w:cs="宋体"/>
                <w:sz w:val="18"/>
                <w:szCs w:val="18"/>
              </w:rPr>
              <w:t xml:space="preserve">4,409,659.17 </w:t>
            </w:r>
            <w:r w:rsidRPr="00F50B51">
              <w:rPr>
                <w:rFonts w:ascii="宋体" w:eastAsia="宋体" w:hAnsi="宋体" w:cs="宋体"/>
                <w:sz w:val="18"/>
                <w:szCs w:val="18"/>
              </w:rPr>
              <w:t>元，永久补充流动资金人民币</w:t>
            </w:r>
            <w:r w:rsidRPr="00F50B51">
              <w:rPr>
                <w:rFonts w:ascii="宋体" w:eastAsia="宋体" w:hAnsi="宋体" w:cs="宋体"/>
                <w:sz w:val="18"/>
                <w:szCs w:val="18"/>
              </w:rPr>
              <w:t>148,009,977.21</w:t>
            </w:r>
            <w:r w:rsidRPr="00F50B51">
              <w:rPr>
                <w:rFonts w:ascii="宋体" w:eastAsia="宋体" w:hAnsi="宋体" w:cs="宋体"/>
                <w:sz w:val="18"/>
                <w:szCs w:val="18"/>
              </w:rPr>
              <w:t>元，尚未使用的募集资金余额为人民币</w:t>
            </w:r>
            <w:r w:rsidRPr="00F50B51">
              <w:rPr>
                <w:rFonts w:ascii="宋体" w:eastAsia="宋体" w:hAnsi="宋体" w:cs="宋体"/>
                <w:sz w:val="18"/>
                <w:szCs w:val="18"/>
              </w:rPr>
              <w:t>33,411,591.81</w:t>
            </w:r>
            <w:r w:rsidRPr="00F50B51">
              <w:rPr>
                <w:rFonts w:ascii="宋体" w:eastAsia="宋体" w:hAnsi="宋体" w:cs="宋体"/>
                <w:sz w:val="18"/>
                <w:szCs w:val="18"/>
              </w:rPr>
              <w:t>元，与募集资金专户的截止日余额一致。</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尚未使用的募集资金人民币</w:t>
            </w:r>
            <w:r w:rsidRPr="00F50B51">
              <w:rPr>
                <w:rFonts w:ascii="宋体" w:eastAsia="宋体" w:hAnsi="宋体" w:cs="宋体"/>
                <w:sz w:val="18"/>
                <w:szCs w:val="18"/>
              </w:rPr>
              <w:t>33,411,591.81</w:t>
            </w:r>
            <w:r w:rsidRPr="00F50B51">
              <w:rPr>
                <w:rFonts w:ascii="宋体" w:eastAsia="宋体" w:hAnsi="宋体" w:cs="宋体"/>
                <w:sz w:val="18"/>
                <w:szCs w:val="18"/>
              </w:rPr>
              <w:t>元，占公司公开发行可转换公司债券募集资金净额的</w:t>
            </w:r>
            <w:r w:rsidRPr="00F50B51">
              <w:rPr>
                <w:rFonts w:ascii="宋体" w:eastAsia="宋体" w:hAnsi="宋体" w:cs="宋体"/>
                <w:sz w:val="18"/>
                <w:szCs w:val="18"/>
              </w:rPr>
              <w:t>11.51%</w:t>
            </w:r>
            <w:r w:rsidRPr="00F50B51">
              <w:rPr>
                <w:rFonts w:ascii="宋体" w:eastAsia="宋体" w:hAnsi="宋体" w:cs="宋体"/>
                <w:sz w:val="18"/>
                <w:szCs w:val="18"/>
              </w:rPr>
              <w:t>。募集资金尚未使用</w:t>
            </w:r>
            <w:r w:rsidRPr="00F50B51">
              <w:rPr>
                <w:rFonts w:ascii="宋体" w:eastAsia="宋体" w:hAnsi="宋体" w:cs="宋体"/>
                <w:sz w:val="18"/>
                <w:szCs w:val="18"/>
              </w:rPr>
              <w:t>完毕的原因是公司拟将</w:t>
            </w:r>
            <w:r w:rsidRPr="00F50B51">
              <w:rPr>
                <w:rFonts w:ascii="宋体" w:eastAsia="宋体" w:hAnsi="宋体" w:cs="宋体"/>
                <w:sz w:val="18"/>
                <w:szCs w:val="18"/>
              </w:rPr>
              <w:t>“</w:t>
            </w:r>
            <w:r w:rsidRPr="00F50B51">
              <w:rPr>
                <w:rFonts w:ascii="宋体" w:eastAsia="宋体" w:hAnsi="宋体" w:cs="宋体"/>
                <w:sz w:val="18"/>
                <w:szCs w:val="18"/>
              </w:rPr>
              <w:t>年产</w:t>
            </w:r>
            <w:r w:rsidRPr="00F50B51">
              <w:rPr>
                <w:rFonts w:ascii="宋体" w:eastAsia="宋体" w:hAnsi="宋体" w:cs="宋体"/>
                <w:sz w:val="18"/>
                <w:szCs w:val="18"/>
              </w:rPr>
              <w:t>800t</w:t>
            </w:r>
            <w:r w:rsidRPr="00F50B51">
              <w:rPr>
                <w:rFonts w:ascii="宋体" w:eastAsia="宋体" w:hAnsi="宋体" w:cs="宋体"/>
                <w:sz w:val="18"/>
                <w:szCs w:val="18"/>
              </w:rPr>
              <w:t>特种超硬合金智能化生产项目</w:t>
            </w:r>
            <w:r w:rsidRPr="00F50B51">
              <w:rPr>
                <w:rFonts w:ascii="宋体" w:eastAsia="宋体" w:hAnsi="宋体" w:cs="宋体"/>
                <w:sz w:val="18"/>
                <w:szCs w:val="18"/>
              </w:rPr>
              <w:t>”</w:t>
            </w:r>
            <w:r w:rsidRPr="00F50B51">
              <w:rPr>
                <w:rFonts w:ascii="宋体" w:eastAsia="宋体" w:hAnsi="宋体" w:cs="宋体"/>
                <w:sz w:val="18"/>
                <w:szCs w:val="18"/>
              </w:rPr>
              <w:t>的建设期延长一年，募集资金投资项目尚在建设中，部分款项尚未结算，尚未使用的募集资金后续将继续用于募集资金投资项目建设。</w:t>
            </w:r>
          </w:p>
        </w:tc>
      </w:tr>
    </w:tbl>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3" w:name="_Toc988921"/>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募集资金承诺项目情况</w:t>
      </w:r>
      <w:bookmarkEnd w:id="33"/>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单位：万元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6"/>
        <w:gridCol w:w="876"/>
        <w:gridCol w:w="876"/>
        <w:gridCol w:w="876"/>
        <w:gridCol w:w="876"/>
        <w:gridCol w:w="876"/>
        <w:gridCol w:w="876"/>
        <w:gridCol w:w="876"/>
        <w:gridCol w:w="876"/>
        <w:gridCol w:w="876"/>
        <w:gridCol w:w="879"/>
      </w:tblGrid>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承诺投资项目和超募资金投向</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是否已变更项目</w:t>
            </w:r>
            <w:r w:rsidRPr="00F50B51">
              <w:rPr>
                <w:rFonts w:ascii="宋体" w:eastAsia="宋体" w:hAnsi="宋体" w:cs="宋体"/>
                <w:sz w:val="18"/>
                <w:szCs w:val="18"/>
              </w:rPr>
              <w:t>(</w:t>
            </w:r>
            <w:r w:rsidRPr="00F50B51">
              <w:rPr>
                <w:rFonts w:ascii="宋体" w:eastAsia="宋体" w:hAnsi="宋体" w:cs="宋体"/>
                <w:sz w:val="18"/>
                <w:szCs w:val="18"/>
              </w:rPr>
              <w:t>含部分变更</w:t>
            </w:r>
            <w:r w:rsidRPr="00F50B51">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募集资金承诺投资总额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调整后投资总额</w:t>
            </w:r>
            <w:r w:rsidRPr="00F50B51">
              <w:rPr>
                <w:rFonts w:ascii="宋体" w:eastAsia="宋体" w:hAnsi="宋体" w:cs="宋体"/>
                <w:sz w:val="18"/>
                <w:szCs w:val="18"/>
              </w:rPr>
              <w:t>(1)</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本报告期投入金额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截至期末累计投入金额</w:t>
            </w:r>
            <w:r w:rsidRPr="00F50B51">
              <w:rPr>
                <w:rFonts w:ascii="宋体" w:eastAsia="宋体" w:hAnsi="宋体" w:cs="宋体"/>
                <w:sz w:val="18"/>
                <w:szCs w:val="18"/>
              </w:rPr>
              <w:t>(2)</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截至期末投资进度</w:t>
            </w:r>
            <w:r w:rsidRPr="00F50B51">
              <w:rPr>
                <w:rFonts w:ascii="宋体" w:eastAsia="宋体" w:hAnsi="宋体" w:cs="宋体"/>
                <w:sz w:val="18"/>
                <w:szCs w:val="18"/>
              </w:rPr>
              <w:t>(3)</w:t>
            </w:r>
            <w:r w:rsidRPr="00F50B51">
              <w:rPr>
                <w:rFonts w:ascii="宋体" w:eastAsia="宋体" w:hAnsi="宋体" w:cs="宋体"/>
                <w:sz w:val="18"/>
                <w:szCs w:val="18"/>
              </w:rPr>
              <w:t>＝</w:t>
            </w:r>
            <w:r w:rsidRPr="00F50B51">
              <w:rPr>
                <w:rFonts w:ascii="宋体" w:eastAsia="宋体" w:hAnsi="宋体" w:cs="宋体"/>
                <w:sz w:val="18"/>
                <w:szCs w:val="18"/>
              </w:rPr>
              <w:t>(2)/(1)</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项目达到预定可使用状态日期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本报告期实现的效益</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是否达到预计效益</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项目可行性是否发生重大变化</w:t>
            </w:r>
          </w:p>
        </w:tc>
      </w:tr>
      <w:tr w:rsidR="0058782B" w:rsidRPr="00F50B51">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承诺投资项目</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年产</w:t>
            </w:r>
            <w:r w:rsidRPr="00F50B51">
              <w:rPr>
                <w:rFonts w:ascii="宋体" w:eastAsia="宋体" w:hAnsi="宋体" w:cs="宋体"/>
                <w:sz w:val="18"/>
                <w:szCs w:val="18"/>
              </w:rPr>
              <w:t>800t</w:t>
            </w:r>
            <w:r w:rsidRPr="00F50B51">
              <w:rPr>
                <w:rFonts w:ascii="宋体" w:eastAsia="宋体" w:hAnsi="宋体" w:cs="宋体"/>
                <w:sz w:val="18"/>
                <w:szCs w:val="18"/>
              </w:rPr>
              <w:t>特种超硬合金智能化生产项目</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15,192.23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15,192.23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980.73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10,784.52</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70.99%</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2023</w:t>
            </w:r>
            <w:r w:rsidRPr="00F50B51">
              <w:rPr>
                <w:rFonts w:ascii="宋体" w:eastAsia="宋体" w:hAnsi="宋体" w:cs="宋体"/>
                <w:sz w:val="18"/>
                <w:szCs w:val="18"/>
              </w:rPr>
              <w:t>年</w:t>
            </w:r>
            <w:r w:rsidRPr="00F50B51">
              <w:rPr>
                <w:rFonts w:ascii="宋体" w:eastAsia="宋体" w:hAnsi="宋体" w:cs="宋体"/>
                <w:sz w:val="18"/>
                <w:szCs w:val="18"/>
              </w:rPr>
              <w:t>02</w:t>
            </w:r>
            <w:r w:rsidRPr="00F50B51">
              <w:rPr>
                <w:rFonts w:ascii="宋体" w:eastAsia="宋体" w:hAnsi="宋体" w:cs="宋体"/>
                <w:sz w:val="18"/>
                <w:szCs w:val="18"/>
              </w:rPr>
              <w:t>月</w:t>
            </w:r>
            <w:r w:rsidRPr="00F50B51">
              <w:rPr>
                <w:rFonts w:ascii="宋体" w:eastAsia="宋体" w:hAnsi="宋体" w:cs="宋体"/>
                <w:sz w:val="18"/>
                <w:szCs w:val="18"/>
              </w:rPr>
              <w:t>28</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年产</w:t>
            </w:r>
            <w:r w:rsidRPr="00F50B51">
              <w:rPr>
                <w:rFonts w:ascii="宋体" w:eastAsia="宋体" w:hAnsi="宋体" w:cs="宋体"/>
                <w:sz w:val="18"/>
                <w:szCs w:val="18"/>
              </w:rPr>
              <w:t>600</w:t>
            </w:r>
            <w:r w:rsidRPr="00F50B51">
              <w:rPr>
                <w:rFonts w:ascii="宋体" w:eastAsia="宋体" w:hAnsi="宋体" w:cs="宋体"/>
                <w:sz w:val="18"/>
                <w:szCs w:val="18"/>
              </w:rPr>
              <w:t>万支精密特种硬质合金切削工具智能制造项目</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534.5</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534.5</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hint="eastAsia"/>
                <w:sz w:val="18"/>
                <w:szCs w:val="18"/>
              </w:rPr>
              <w:t>终止</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是</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永久补充流动</w:t>
            </w:r>
            <w:r w:rsidRPr="00F50B51">
              <w:rPr>
                <w:rFonts w:ascii="宋体" w:eastAsia="宋体" w:hAnsi="宋体" w:cs="宋体"/>
                <w:sz w:val="18"/>
                <w:szCs w:val="18"/>
              </w:rPr>
              <w:lastRenderedPageBreak/>
              <w:t>资金</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否</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14,465.5</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lastRenderedPageBreak/>
              <w:t>承诺投资项目小计</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30,192.23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30,192.23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15,781.73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26,120.02</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r>
      <w:tr w:rsidR="0058782B" w:rsidRPr="00F50B51">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超募资金投向</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30,192.23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30,192.23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15,781.73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26,120.02</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未达到计划进度或预计收益的情况和原因（分具体项目）</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公司拟终止募投项目</w:t>
            </w:r>
            <w:r w:rsidRPr="00F50B51">
              <w:rPr>
                <w:rFonts w:ascii="宋体" w:eastAsia="宋体" w:hAnsi="宋体" w:cs="宋体"/>
                <w:sz w:val="18"/>
                <w:szCs w:val="18"/>
              </w:rPr>
              <w:t>“</w:t>
            </w:r>
            <w:r w:rsidRPr="00F50B51">
              <w:rPr>
                <w:rFonts w:ascii="宋体" w:eastAsia="宋体" w:hAnsi="宋体" w:cs="宋体"/>
                <w:sz w:val="18"/>
                <w:szCs w:val="18"/>
              </w:rPr>
              <w:t>年产</w:t>
            </w:r>
            <w:r w:rsidRPr="00F50B51">
              <w:rPr>
                <w:rFonts w:ascii="宋体" w:eastAsia="宋体" w:hAnsi="宋体" w:cs="宋体"/>
                <w:sz w:val="18"/>
                <w:szCs w:val="18"/>
              </w:rPr>
              <w:t>600</w:t>
            </w:r>
            <w:r w:rsidRPr="00F50B51">
              <w:rPr>
                <w:rFonts w:ascii="宋体" w:eastAsia="宋体" w:hAnsi="宋体" w:cs="宋体"/>
                <w:sz w:val="18"/>
                <w:szCs w:val="18"/>
              </w:rPr>
              <w:t>万支精密特种硬质合金切削工具智能制造项目</w:t>
            </w:r>
            <w:r w:rsidRPr="00F50B51">
              <w:rPr>
                <w:rFonts w:ascii="宋体" w:eastAsia="宋体" w:hAnsi="宋体" w:cs="宋体"/>
                <w:sz w:val="18"/>
                <w:szCs w:val="18"/>
              </w:rPr>
              <w:t>”</w:t>
            </w:r>
            <w:r w:rsidRPr="00F50B51">
              <w:rPr>
                <w:rFonts w:ascii="宋体" w:eastAsia="宋体" w:hAnsi="宋体" w:cs="宋体"/>
                <w:sz w:val="18"/>
                <w:szCs w:val="18"/>
              </w:rPr>
              <w:t>的投资并将剩余募集资金全部永久性补充流动资金，用于公司日常经营活动。</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年产</w:t>
            </w:r>
            <w:r w:rsidRPr="00F50B51">
              <w:rPr>
                <w:rFonts w:ascii="宋体" w:eastAsia="宋体" w:hAnsi="宋体" w:cs="宋体"/>
                <w:sz w:val="18"/>
                <w:szCs w:val="18"/>
              </w:rPr>
              <w:t>800t</w:t>
            </w:r>
            <w:r w:rsidRPr="00F50B51">
              <w:rPr>
                <w:rFonts w:ascii="宋体" w:eastAsia="宋体" w:hAnsi="宋体" w:cs="宋体"/>
                <w:sz w:val="18"/>
                <w:szCs w:val="18"/>
              </w:rPr>
              <w:t>特种超硬合金智能化生产项目预计于</w:t>
            </w:r>
            <w:r w:rsidRPr="00F50B51">
              <w:rPr>
                <w:rFonts w:ascii="宋体" w:eastAsia="宋体" w:hAnsi="宋体" w:cs="宋体"/>
                <w:sz w:val="18"/>
                <w:szCs w:val="18"/>
              </w:rPr>
              <w:t>2023</w:t>
            </w:r>
            <w:r w:rsidRPr="00F50B51">
              <w:rPr>
                <w:rFonts w:ascii="宋体" w:eastAsia="宋体" w:hAnsi="宋体" w:cs="宋体"/>
                <w:sz w:val="18"/>
                <w:szCs w:val="18"/>
              </w:rPr>
              <w:t>年</w:t>
            </w:r>
            <w:r w:rsidRPr="00F50B51">
              <w:rPr>
                <w:rFonts w:ascii="宋体" w:eastAsia="宋体" w:hAnsi="宋体" w:cs="宋体"/>
                <w:sz w:val="18"/>
                <w:szCs w:val="18"/>
              </w:rPr>
              <w:t>2</w:t>
            </w:r>
            <w:r w:rsidRPr="00F50B51">
              <w:rPr>
                <w:rFonts w:ascii="宋体" w:eastAsia="宋体" w:hAnsi="宋体" w:cs="宋体"/>
                <w:sz w:val="18"/>
                <w:szCs w:val="18"/>
              </w:rPr>
              <w:t>月达到可使用状态。</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项目可行性发生重大变化的情况说明</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超募资金的金额、用途及使用进展情况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不适用</w:t>
            </w:r>
          </w:p>
        </w:tc>
      </w:tr>
      <w:tr w:rsidR="0058782B" w:rsidRPr="00F50B51">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募集资金投资项目实施地点变更情况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适用</w:t>
            </w:r>
          </w:p>
        </w:tc>
      </w:tr>
      <w:tr w:rsidR="0058782B" w:rsidRPr="00F50B51">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以前年度发生</w:t>
            </w:r>
          </w:p>
        </w:tc>
      </w:tr>
      <w:tr w:rsidR="0058782B" w:rsidRPr="00F50B51">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7</w:t>
            </w:r>
            <w:r w:rsidRPr="00F50B51">
              <w:rPr>
                <w:rFonts w:ascii="宋体" w:eastAsia="宋体" w:hAnsi="宋体" w:cs="宋体"/>
                <w:sz w:val="18"/>
                <w:szCs w:val="18"/>
              </w:rPr>
              <w:t>月</w:t>
            </w:r>
            <w:r w:rsidRPr="00F50B51">
              <w:rPr>
                <w:rFonts w:ascii="宋体" w:eastAsia="宋体" w:hAnsi="宋体" w:cs="宋体"/>
                <w:sz w:val="18"/>
                <w:szCs w:val="18"/>
              </w:rPr>
              <w:t>23</w:t>
            </w:r>
            <w:r w:rsidRPr="00F50B51">
              <w:rPr>
                <w:rFonts w:ascii="宋体" w:eastAsia="宋体" w:hAnsi="宋体" w:cs="宋体"/>
                <w:sz w:val="18"/>
                <w:szCs w:val="18"/>
              </w:rPr>
              <w:t>日，公司第三届董事会</w:t>
            </w:r>
            <w:r w:rsidRPr="00F50B51">
              <w:rPr>
                <w:rFonts w:ascii="宋体" w:eastAsia="宋体" w:hAnsi="宋体" w:cs="宋体"/>
                <w:sz w:val="18"/>
                <w:szCs w:val="18"/>
              </w:rPr>
              <w:t xml:space="preserve"> 2020 </w:t>
            </w:r>
            <w:r w:rsidRPr="00F50B51">
              <w:rPr>
                <w:rFonts w:ascii="宋体" w:eastAsia="宋体" w:hAnsi="宋体" w:cs="宋体"/>
                <w:sz w:val="18"/>
                <w:szCs w:val="18"/>
              </w:rPr>
              <w:t>年第五次临时会议审议通过了《关于增加募投项目实施地点的议案》，公司拟调整首次公开发行募投项目</w:t>
            </w:r>
            <w:r w:rsidRPr="00F50B51">
              <w:rPr>
                <w:rFonts w:ascii="宋体" w:eastAsia="宋体" w:hAnsi="宋体" w:cs="宋体"/>
                <w:sz w:val="18"/>
                <w:szCs w:val="18"/>
              </w:rPr>
              <w:t>“</w:t>
            </w:r>
            <w:r w:rsidRPr="00F50B51">
              <w:rPr>
                <w:rFonts w:ascii="宋体" w:eastAsia="宋体" w:hAnsi="宋体" w:cs="宋体"/>
                <w:sz w:val="18"/>
                <w:szCs w:val="18"/>
              </w:rPr>
              <w:t>特种硬质合金材料及高精密硬质合金工具智能制造项目</w:t>
            </w:r>
            <w:r w:rsidRPr="00F50B51">
              <w:rPr>
                <w:rFonts w:ascii="宋体" w:eastAsia="宋体" w:hAnsi="宋体" w:cs="宋体"/>
                <w:sz w:val="18"/>
                <w:szCs w:val="18"/>
              </w:rPr>
              <w:t>”</w:t>
            </w:r>
            <w:r w:rsidRPr="00F50B51">
              <w:rPr>
                <w:rFonts w:ascii="宋体" w:eastAsia="宋体" w:hAnsi="宋体" w:cs="宋体"/>
                <w:sz w:val="18"/>
                <w:szCs w:val="18"/>
              </w:rPr>
              <w:t>、公开发行可转债募投项目</w:t>
            </w:r>
            <w:r w:rsidRPr="00F50B51">
              <w:rPr>
                <w:rFonts w:ascii="宋体" w:eastAsia="宋体" w:hAnsi="宋体" w:cs="宋体"/>
                <w:sz w:val="18"/>
                <w:szCs w:val="18"/>
              </w:rPr>
              <w:t>“</w:t>
            </w:r>
            <w:r w:rsidRPr="00F50B51">
              <w:rPr>
                <w:rFonts w:ascii="宋体" w:eastAsia="宋体" w:hAnsi="宋体" w:cs="宋体"/>
                <w:sz w:val="18"/>
                <w:szCs w:val="18"/>
              </w:rPr>
              <w:t>年产</w:t>
            </w:r>
            <w:r w:rsidRPr="00F50B51">
              <w:rPr>
                <w:rFonts w:ascii="宋体" w:eastAsia="宋体" w:hAnsi="宋体" w:cs="宋体"/>
                <w:sz w:val="18"/>
                <w:szCs w:val="18"/>
              </w:rPr>
              <w:t xml:space="preserve"> 600 </w:t>
            </w:r>
            <w:r w:rsidRPr="00F50B51">
              <w:rPr>
                <w:rFonts w:ascii="宋体" w:eastAsia="宋体" w:hAnsi="宋体" w:cs="宋体"/>
                <w:sz w:val="18"/>
                <w:szCs w:val="18"/>
              </w:rPr>
              <w:t>万支精密特种硬质合金切削工具智能制造项目</w:t>
            </w:r>
            <w:r w:rsidRPr="00F50B51">
              <w:rPr>
                <w:rFonts w:ascii="宋体" w:eastAsia="宋体" w:hAnsi="宋体" w:cs="宋体"/>
                <w:sz w:val="18"/>
                <w:szCs w:val="18"/>
              </w:rPr>
              <w:t>”</w:t>
            </w:r>
            <w:r w:rsidRPr="00F50B51">
              <w:rPr>
                <w:rFonts w:ascii="宋体" w:eastAsia="宋体" w:hAnsi="宋体" w:cs="宋体"/>
                <w:sz w:val="18"/>
                <w:szCs w:val="18"/>
              </w:rPr>
              <w:t>的实施地点，即在原实施地点的基础上，将实施地点扩展至包含全资子公司广东翔鹭精密、江西翔鹭精密、东莞翔鹭精密及常州翔鹭工具的所属经营地址。监事会、独立董事、保荐机构对此发表同意的意见。</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募集资金投资项目实施方式调整情况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不适用</w:t>
            </w:r>
          </w:p>
        </w:tc>
      </w:tr>
      <w:tr w:rsidR="0058782B" w:rsidRPr="00F50B51">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募集资金投资项目先期投入及置换情况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适用</w:t>
            </w:r>
          </w:p>
        </w:tc>
      </w:tr>
      <w:tr w:rsidR="0058782B" w:rsidRPr="00F50B51">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2</w:t>
            </w:r>
            <w:r w:rsidRPr="00F50B51">
              <w:rPr>
                <w:rFonts w:ascii="宋体" w:eastAsia="宋体" w:hAnsi="宋体" w:cs="宋体"/>
                <w:sz w:val="18"/>
                <w:szCs w:val="18"/>
              </w:rPr>
              <w:t>月</w:t>
            </w:r>
            <w:r w:rsidRPr="00F50B51">
              <w:rPr>
                <w:rFonts w:ascii="宋体" w:eastAsia="宋体" w:hAnsi="宋体" w:cs="宋体"/>
                <w:sz w:val="18"/>
                <w:szCs w:val="18"/>
              </w:rPr>
              <w:t>13</w:t>
            </w:r>
            <w:r w:rsidRPr="00F50B51">
              <w:rPr>
                <w:rFonts w:ascii="宋体" w:eastAsia="宋体" w:hAnsi="宋体" w:cs="宋体"/>
                <w:sz w:val="18"/>
                <w:szCs w:val="18"/>
              </w:rPr>
              <w:t>日，公司第三届董事会</w:t>
            </w:r>
            <w:r w:rsidRPr="00F50B51">
              <w:rPr>
                <w:rFonts w:ascii="宋体" w:eastAsia="宋体" w:hAnsi="宋体" w:cs="宋体"/>
                <w:sz w:val="18"/>
                <w:szCs w:val="18"/>
              </w:rPr>
              <w:t>2020</w:t>
            </w:r>
            <w:r w:rsidRPr="00F50B51">
              <w:rPr>
                <w:rFonts w:ascii="宋体" w:eastAsia="宋体" w:hAnsi="宋体" w:cs="宋体"/>
                <w:sz w:val="18"/>
                <w:szCs w:val="18"/>
              </w:rPr>
              <w:t>年第一次临时会议审议通过了《关于以可转债募集资金置换预先投入募投项目自筹资金的议案》，公司以募集资金</w:t>
            </w:r>
            <w:r w:rsidRPr="00F50B51">
              <w:rPr>
                <w:rFonts w:ascii="宋体" w:eastAsia="宋体" w:hAnsi="宋体" w:cs="宋体"/>
                <w:sz w:val="18"/>
                <w:szCs w:val="18"/>
              </w:rPr>
              <w:t>4,085.69</w:t>
            </w:r>
            <w:r w:rsidRPr="00F50B51">
              <w:rPr>
                <w:rFonts w:ascii="宋体" w:eastAsia="宋体" w:hAnsi="宋体" w:cs="宋体"/>
                <w:sz w:val="18"/>
                <w:szCs w:val="18"/>
              </w:rPr>
              <w:t>万元置换先期投入募投项目的自筹资金。监事会、独立董事、保荐机构对此发表同意的意见。报告期公司已完成募集资金置换，置换时间距离募集资金到账时间未超过</w:t>
            </w:r>
            <w:r w:rsidRPr="00F50B51">
              <w:rPr>
                <w:rFonts w:ascii="宋体" w:eastAsia="宋体" w:hAnsi="宋体" w:cs="宋体"/>
                <w:sz w:val="18"/>
                <w:szCs w:val="18"/>
              </w:rPr>
              <w:t>6</w:t>
            </w:r>
            <w:r w:rsidRPr="00F50B51">
              <w:rPr>
                <w:rFonts w:ascii="宋体" w:eastAsia="宋体" w:hAnsi="宋体" w:cs="宋体"/>
                <w:sz w:val="18"/>
                <w:szCs w:val="18"/>
              </w:rPr>
              <w:t>个月。</w:t>
            </w:r>
          </w:p>
        </w:tc>
      </w:tr>
      <w:tr w:rsidR="0058782B" w:rsidRPr="00F50B51">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用闲置募集资金暂时补充流动资金情况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适用</w:t>
            </w:r>
          </w:p>
        </w:tc>
      </w:tr>
      <w:tr w:rsidR="0058782B" w:rsidRPr="00F50B51">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2019</w:t>
            </w:r>
            <w:r w:rsidRPr="00F50B51">
              <w:rPr>
                <w:rFonts w:ascii="宋体" w:eastAsia="宋体" w:hAnsi="宋体" w:cs="宋体"/>
                <w:sz w:val="18"/>
                <w:szCs w:val="18"/>
              </w:rPr>
              <w:t>年</w:t>
            </w:r>
            <w:r w:rsidRPr="00F50B51">
              <w:rPr>
                <w:rFonts w:ascii="宋体" w:eastAsia="宋体" w:hAnsi="宋体" w:cs="宋体"/>
                <w:sz w:val="18"/>
                <w:szCs w:val="18"/>
              </w:rPr>
              <w:t>9</w:t>
            </w:r>
            <w:r w:rsidRPr="00F50B51">
              <w:rPr>
                <w:rFonts w:ascii="宋体" w:eastAsia="宋体" w:hAnsi="宋体" w:cs="宋体"/>
                <w:sz w:val="18"/>
                <w:szCs w:val="18"/>
              </w:rPr>
              <w:t>月</w:t>
            </w:r>
            <w:r w:rsidRPr="00F50B51">
              <w:rPr>
                <w:rFonts w:ascii="宋体" w:eastAsia="宋体" w:hAnsi="宋体" w:cs="宋体"/>
                <w:sz w:val="18"/>
                <w:szCs w:val="18"/>
              </w:rPr>
              <w:t>15</w:t>
            </w:r>
            <w:r w:rsidRPr="00F50B51">
              <w:rPr>
                <w:rFonts w:ascii="宋体" w:eastAsia="宋体" w:hAnsi="宋体" w:cs="宋体"/>
                <w:sz w:val="18"/>
                <w:szCs w:val="18"/>
              </w:rPr>
              <w:t>日，公司第三届董事会</w:t>
            </w:r>
            <w:r w:rsidRPr="00F50B51">
              <w:rPr>
                <w:rFonts w:ascii="宋体" w:eastAsia="宋体" w:hAnsi="宋体" w:cs="宋体"/>
                <w:sz w:val="18"/>
                <w:szCs w:val="18"/>
              </w:rPr>
              <w:t>2019</w:t>
            </w:r>
            <w:r w:rsidRPr="00F50B51">
              <w:rPr>
                <w:rFonts w:ascii="宋体" w:eastAsia="宋体" w:hAnsi="宋体" w:cs="宋体"/>
                <w:sz w:val="18"/>
                <w:szCs w:val="18"/>
              </w:rPr>
              <w:t>年第六次临时会议审议通过了《关于使用部分闲置募集资金购买保本型理财产品的议案》，在不影响募集资金投资计划正常进行的前提下，同意公司及子公司使用额度不超过人民币</w:t>
            </w:r>
            <w:r w:rsidRPr="00F50B51">
              <w:rPr>
                <w:rFonts w:ascii="宋体" w:eastAsia="宋体" w:hAnsi="宋体" w:cs="宋体"/>
                <w:sz w:val="18"/>
                <w:szCs w:val="18"/>
              </w:rPr>
              <w:t>8,000</w:t>
            </w:r>
            <w:r w:rsidRPr="00F50B51">
              <w:rPr>
                <w:rFonts w:ascii="宋体" w:eastAsia="宋体" w:hAnsi="宋体" w:cs="宋体"/>
                <w:sz w:val="18"/>
                <w:szCs w:val="18"/>
              </w:rPr>
              <w:t>万元的闲置公开发行可转换公司债券募集资金进行现金管理，购买安全性高、流动性好、有保本约定的银行理财产品，在上述额度内资金可滚动使用，自董事会审议通过之日起</w:t>
            </w:r>
            <w:r w:rsidRPr="00F50B51">
              <w:rPr>
                <w:rFonts w:ascii="宋体" w:eastAsia="宋体" w:hAnsi="宋体" w:cs="宋体"/>
                <w:sz w:val="18"/>
                <w:szCs w:val="18"/>
              </w:rPr>
              <w:t>12</w:t>
            </w:r>
            <w:r w:rsidRPr="00F50B51">
              <w:rPr>
                <w:rFonts w:ascii="宋体" w:eastAsia="宋体" w:hAnsi="宋体" w:cs="宋体"/>
                <w:sz w:val="18"/>
                <w:szCs w:val="18"/>
              </w:rPr>
              <w:t>个月内有效。监事会、独立董事、保荐机构对此发表同意的意见。</w:t>
            </w:r>
            <w:r w:rsidRPr="00F50B51">
              <w:rPr>
                <w:rFonts w:ascii="宋体" w:eastAsia="宋体" w:hAnsi="宋体" w:cs="宋体"/>
                <w:sz w:val="18"/>
                <w:szCs w:val="18"/>
              </w:rPr>
              <w:t>2019</w:t>
            </w:r>
            <w:r w:rsidRPr="00F50B51">
              <w:rPr>
                <w:rFonts w:ascii="宋体" w:eastAsia="宋体" w:hAnsi="宋体" w:cs="宋体"/>
                <w:sz w:val="18"/>
                <w:szCs w:val="18"/>
              </w:rPr>
              <w:t>年度，公司在上述额度内，累计使用闲置募集资金人民币</w:t>
            </w:r>
            <w:r w:rsidRPr="00F50B51">
              <w:rPr>
                <w:rFonts w:ascii="宋体" w:eastAsia="宋体" w:hAnsi="宋体" w:cs="宋体"/>
                <w:sz w:val="18"/>
                <w:szCs w:val="18"/>
              </w:rPr>
              <w:t>1.45</w:t>
            </w:r>
            <w:r w:rsidRPr="00F50B51">
              <w:rPr>
                <w:rFonts w:ascii="宋体" w:eastAsia="宋体" w:hAnsi="宋体" w:cs="宋体"/>
                <w:sz w:val="18"/>
                <w:szCs w:val="18"/>
              </w:rPr>
              <w:t>亿元购买保本型理</w:t>
            </w:r>
            <w:r w:rsidRPr="00F50B51">
              <w:rPr>
                <w:rFonts w:ascii="宋体" w:eastAsia="宋体" w:hAnsi="宋体" w:cs="宋体"/>
                <w:sz w:val="18"/>
                <w:szCs w:val="18"/>
              </w:rPr>
              <w:t>财产品（</w:t>
            </w:r>
            <w:r w:rsidRPr="00F50B51">
              <w:rPr>
                <w:rFonts w:ascii="宋体" w:eastAsia="宋体" w:hAnsi="宋体" w:cs="宋体"/>
                <w:sz w:val="18"/>
                <w:szCs w:val="18"/>
              </w:rPr>
              <w:t>2019</w:t>
            </w:r>
            <w:r w:rsidRPr="00F50B51">
              <w:rPr>
                <w:rFonts w:ascii="宋体" w:eastAsia="宋体" w:hAnsi="宋体" w:cs="宋体"/>
                <w:sz w:val="18"/>
                <w:szCs w:val="18"/>
              </w:rPr>
              <w:t>年度尚未到期的理财产品金额峰值未超出上述额度），截至</w:t>
            </w: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lastRenderedPageBreak/>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日止，上述闲置募集资金已归还至公司募集资金专用账户。</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8</w:t>
            </w:r>
            <w:r w:rsidRPr="00F50B51">
              <w:rPr>
                <w:rFonts w:ascii="宋体" w:eastAsia="宋体" w:hAnsi="宋体" w:cs="宋体"/>
                <w:sz w:val="18"/>
                <w:szCs w:val="18"/>
              </w:rPr>
              <w:t>月</w:t>
            </w:r>
            <w:r w:rsidRPr="00F50B51">
              <w:rPr>
                <w:rFonts w:ascii="宋体" w:eastAsia="宋体" w:hAnsi="宋体" w:cs="宋体"/>
                <w:sz w:val="18"/>
                <w:szCs w:val="18"/>
              </w:rPr>
              <w:t>22</w:t>
            </w:r>
            <w:r w:rsidRPr="00F50B51">
              <w:rPr>
                <w:rFonts w:ascii="宋体" w:eastAsia="宋体" w:hAnsi="宋体" w:cs="宋体"/>
                <w:sz w:val="18"/>
                <w:szCs w:val="18"/>
              </w:rPr>
              <w:t>日，公司第三届董事会第四次会议、第三届监事会第十八次会议审议通过了《关于使用部分闲置募集资金购买保本型理财产品的议案》，在不影响募集资金投资计划正常进行的前提下，同意公司及子公司使用额度不超过人民币</w:t>
            </w:r>
            <w:r w:rsidRPr="00F50B51">
              <w:rPr>
                <w:rFonts w:ascii="宋体" w:eastAsia="宋体" w:hAnsi="宋体" w:cs="宋体"/>
                <w:sz w:val="18"/>
                <w:szCs w:val="18"/>
              </w:rPr>
              <w:t>7,000</w:t>
            </w:r>
            <w:r w:rsidRPr="00F50B51">
              <w:rPr>
                <w:rFonts w:ascii="宋体" w:eastAsia="宋体" w:hAnsi="宋体" w:cs="宋体"/>
                <w:sz w:val="18"/>
                <w:szCs w:val="18"/>
              </w:rPr>
              <w:t>万元的闲置公开发行可转换公司债券募集资金进行现金管理，购买安全性高、流动性好、有保本约定的银行理财产品，在上述额度内资金可滚动使用，自董事会审议通</w:t>
            </w:r>
            <w:r w:rsidRPr="00F50B51">
              <w:rPr>
                <w:rFonts w:ascii="宋体" w:eastAsia="宋体" w:hAnsi="宋体" w:cs="宋体"/>
                <w:sz w:val="18"/>
                <w:szCs w:val="18"/>
              </w:rPr>
              <w:t>过之日起</w:t>
            </w:r>
            <w:r w:rsidRPr="00F50B51">
              <w:rPr>
                <w:rFonts w:ascii="宋体" w:eastAsia="宋体" w:hAnsi="宋体" w:cs="宋体"/>
                <w:sz w:val="18"/>
                <w:szCs w:val="18"/>
              </w:rPr>
              <w:t>12</w:t>
            </w:r>
            <w:r w:rsidRPr="00F50B51">
              <w:rPr>
                <w:rFonts w:ascii="宋体" w:eastAsia="宋体" w:hAnsi="宋体" w:cs="宋体"/>
                <w:sz w:val="18"/>
                <w:szCs w:val="18"/>
              </w:rPr>
              <w:t>个月内有效。监事会、独立董事、保荐机构对此发表同意的意见。截至</w:t>
            </w: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日止，上述闲置募集资金已归还至公司募集资金专用账户。</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w:t>
            </w:r>
            <w:r w:rsidRPr="00F50B51">
              <w:rPr>
                <w:rFonts w:ascii="宋体" w:eastAsia="宋体" w:hAnsi="宋体" w:cs="宋体"/>
                <w:sz w:val="18"/>
                <w:szCs w:val="18"/>
              </w:rPr>
              <w:t>8</w:t>
            </w:r>
            <w:r w:rsidRPr="00F50B51">
              <w:rPr>
                <w:rFonts w:ascii="宋体" w:eastAsia="宋体" w:hAnsi="宋体" w:cs="宋体"/>
                <w:sz w:val="18"/>
                <w:szCs w:val="18"/>
              </w:rPr>
              <w:t>月</w:t>
            </w:r>
            <w:r w:rsidRPr="00F50B51">
              <w:rPr>
                <w:rFonts w:ascii="宋体" w:eastAsia="宋体" w:hAnsi="宋体" w:cs="宋体"/>
                <w:sz w:val="18"/>
                <w:szCs w:val="18"/>
              </w:rPr>
              <w:t>16</w:t>
            </w:r>
            <w:r w:rsidRPr="00F50B51">
              <w:rPr>
                <w:rFonts w:ascii="宋体" w:eastAsia="宋体" w:hAnsi="宋体" w:cs="宋体"/>
                <w:sz w:val="18"/>
                <w:szCs w:val="18"/>
              </w:rPr>
              <w:t>日，公司第四届董事会</w:t>
            </w:r>
            <w:r w:rsidRPr="00F50B51">
              <w:rPr>
                <w:rFonts w:ascii="宋体" w:eastAsia="宋体" w:hAnsi="宋体" w:cs="宋体"/>
                <w:sz w:val="18"/>
                <w:szCs w:val="18"/>
              </w:rPr>
              <w:t xml:space="preserve">2021 </w:t>
            </w:r>
            <w:r w:rsidRPr="00F50B51">
              <w:rPr>
                <w:rFonts w:ascii="宋体" w:eastAsia="宋体" w:hAnsi="宋体" w:cs="宋体"/>
                <w:sz w:val="18"/>
                <w:szCs w:val="18"/>
              </w:rPr>
              <w:t>年第二次临时会议、第四届监事会第三次会议审议通过了《关于使用部分闲置募集资金购买保本型理财产品的议案》，在不影响募集资金投资计划正常进行的前提下，同意公司及子公司使用额度不超过人民币</w:t>
            </w:r>
            <w:r w:rsidRPr="00F50B51">
              <w:rPr>
                <w:rFonts w:ascii="宋体" w:eastAsia="宋体" w:hAnsi="宋体" w:cs="宋体"/>
                <w:sz w:val="18"/>
                <w:szCs w:val="18"/>
              </w:rPr>
              <w:t>6,000</w:t>
            </w:r>
            <w:r w:rsidRPr="00F50B51">
              <w:rPr>
                <w:rFonts w:ascii="宋体" w:eastAsia="宋体" w:hAnsi="宋体" w:cs="宋体"/>
                <w:sz w:val="18"/>
                <w:szCs w:val="18"/>
              </w:rPr>
              <w:t>万元的闲置公开发行可转换公司债券募集资金进行现金管理，购买安全性高、流动性好、有保本约定的银行理财产品，在上述额度内资金可滚动</w:t>
            </w:r>
            <w:r w:rsidRPr="00F50B51">
              <w:rPr>
                <w:rFonts w:ascii="宋体" w:eastAsia="宋体" w:hAnsi="宋体" w:cs="宋体"/>
                <w:sz w:val="18"/>
                <w:szCs w:val="18"/>
              </w:rPr>
              <w:t>使用，自董事会审议通过之日起</w:t>
            </w:r>
            <w:r w:rsidRPr="00F50B51">
              <w:rPr>
                <w:rFonts w:ascii="宋体" w:eastAsia="宋体" w:hAnsi="宋体" w:cs="宋体"/>
                <w:sz w:val="18"/>
                <w:szCs w:val="18"/>
              </w:rPr>
              <w:t>12</w:t>
            </w:r>
            <w:r w:rsidRPr="00F50B51">
              <w:rPr>
                <w:rFonts w:ascii="宋体" w:eastAsia="宋体" w:hAnsi="宋体" w:cs="宋体"/>
                <w:sz w:val="18"/>
                <w:szCs w:val="18"/>
              </w:rPr>
              <w:t>个月内有效。监事会、独立董事、保荐机构对此发表同意的意见。截至</w:t>
            </w: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日止，上述闲置募集资金已归还至公司募集资金专用账户。</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2019</w:t>
            </w:r>
            <w:r w:rsidRPr="00F50B51">
              <w:rPr>
                <w:rFonts w:ascii="宋体" w:eastAsia="宋体" w:hAnsi="宋体" w:cs="宋体"/>
                <w:sz w:val="18"/>
                <w:szCs w:val="18"/>
              </w:rPr>
              <w:t>年</w:t>
            </w:r>
            <w:r w:rsidRPr="00F50B51">
              <w:rPr>
                <w:rFonts w:ascii="宋体" w:eastAsia="宋体" w:hAnsi="宋体" w:cs="宋体"/>
                <w:sz w:val="18"/>
                <w:szCs w:val="18"/>
              </w:rPr>
              <w:t>9</w:t>
            </w:r>
            <w:r w:rsidRPr="00F50B51">
              <w:rPr>
                <w:rFonts w:ascii="宋体" w:eastAsia="宋体" w:hAnsi="宋体" w:cs="宋体"/>
                <w:sz w:val="18"/>
                <w:szCs w:val="18"/>
              </w:rPr>
              <w:t>月</w:t>
            </w:r>
            <w:r w:rsidRPr="00F50B51">
              <w:rPr>
                <w:rFonts w:ascii="宋体" w:eastAsia="宋体" w:hAnsi="宋体" w:cs="宋体"/>
                <w:sz w:val="18"/>
                <w:szCs w:val="18"/>
              </w:rPr>
              <w:t>15</w:t>
            </w:r>
            <w:r w:rsidRPr="00F50B51">
              <w:rPr>
                <w:rFonts w:ascii="宋体" w:eastAsia="宋体" w:hAnsi="宋体" w:cs="宋体"/>
                <w:sz w:val="18"/>
                <w:szCs w:val="18"/>
              </w:rPr>
              <w:t>日，公司第三届董事会</w:t>
            </w:r>
            <w:r w:rsidRPr="00F50B51">
              <w:rPr>
                <w:rFonts w:ascii="宋体" w:eastAsia="宋体" w:hAnsi="宋体" w:cs="宋体"/>
                <w:sz w:val="18"/>
                <w:szCs w:val="18"/>
              </w:rPr>
              <w:t>2019</w:t>
            </w:r>
            <w:r w:rsidRPr="00F50B51">
              <w:rPr>
                <w:rFonts w:ascii="宋体" w:eastAsia="宋体" w:hAnsi="宋体" w:cs="宋体"/>
                <w:sz w:val="18"/>
                <w:szCs w:val="18"/>
              </w:rPr>
              <w:t>年第六次临时会议审议通过了《关于使用部分闲置募集资金暂时补充流动资金的议案》，公司以总额人民币</w:t>
            </w:r>
            <w:r w:rsidRPr="00F50B51">
              <w:rPr>
                <w:rFonts w:ascii="宋体" w:eastAsia="宋体" w:hAnsi="宋体" w:cs="宋体"/>
                <w:sz w:val="18"/>
                <w:szCs w:val="18"/>
              </w:rPr>
              <w:t>20,000</w:t>
            </w:r>
            <w:r w:rsidRPr="00F50B51">
              <w:rPr>
                <w:rFonts w:ascii="宋体" w:eastAsia="宋体" w:hAnsi="宋体" w:cs="宋体"/>
                <w:sz w:val="18"/>
                <w:szCs w:val="18"/>
              </w:rPr>
              <w:t>万元的闲置募集资金暂时补充其流动资金，本次补充流动资金的募集资金自经公司董事会审议批准之日起使用期限不超过</w:t>
            </w:r>
            <w:r w:rsidRPr="00F50B51">
              <w:rPr>
                <w:rFonts w:ascii="宋体" w:eastAsia="宋体" w:hAnsi="宋体" w:cs="宋体"/>
                <w:sz w:val="18"/>
                <w:szCs w:val="18"/>
              </w:rPr>
              <w:t>12</w:t>
            </w:r>
            <w:r w:rsidRPr="00F50B51">
              <w:rPr>
                <w:rFonts w:ascii="宋体" w:eastAsia="宋体" w:hAnsi="宋体" w:cs="宋体"/>
                <w:sz w:val="18"/>
                <w:szCs w:val="18"/>
              </w:rPr>
              <w:t>个月，到期将归还至公司募集资金专用账户。监事会、独立董事、保荐机构对此发表同意的意见</w:t>
            </w:r>
            <w:r w:rsidRPr="00F50B51">
              <w:rPr>
                <w:rFonts w:ascii="宋体" w:eastAsia="宋体" w:hAnsi="宋体" w:cs="宋体"/>
                <w:sz w:val="18"/>
                <w:szCs w:val="18"/>
              </w:rPr>
              <w:t>。截至</w:t>
            </w: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日止，上述闲置募集资金已归还至公司募集资金专用账户。</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8</w:t>
            </w:r>
            <w:r w:rsidRPr="00F50B51">
              <w:rPr>
                <w:rFonts w:ascii="宋体" w:eastAsia="宋体" w:hAnsi="宋体" w:cs="宋体"/>
                <w:sz w:val="18"/>
                <w:szCs w:val="18"/>
              </w:rPr>
              <w:t>月</w:t>
            </w:r>
            <w:r w:rsidRPr="00F50B51">
              <w:rPr>
                <w:rFonts w:ascii="宋体" w:eastAsia="宋体" w:hAnsi="宋体" w:cs="宋体"/>
                <w:sz w:val="18"/>
                <w:szCs w:val="18"/>
              </w:rPr>
              <w:t>22</w:t>
            </w:r>
            <w:r w:rsidRPr="00F50B51">
              <w:rPr>
                <w:rFonts w:ascii="宋体" w:eastAsia="宋体" w:hAnsi="宋体" w:cs="宋体"/>
                <w:sz w:val="18"/>
                <w:szCs w:val="18"/>
              </w:rPr>
              <w:t>日，公司第三届董事会</w:t>
            </w:r>
            <w:r w:rsidRPr="00F50B51">
              <w:rPr>
                <w:rFonts w:ascii="宋体" w:eastAsia="宋体" w:hAnsi="宋体" w:cs="宋体"/>
                <w:sz w:val="18"/>
                <w:szCs w:val="18"/>
              </w:rPr>
              <w:t>2020</w:t>
            </w:r>
            <w:r w:rsidRPr="00F50B51">
              <w:rPr>
                <w:rFonts w:ascii="宋体" w:eastAsia="宋体" w:hAnsi="宋体" w:cs="宋体"/>
                <w:sz w:val="18"/>
                <w:szCs w:val="18"/>
              </w:rPr>
              <w:t>年第四次会议、第三届监事会第十八次会议审议通过了《关于使用部分闲置募集资金暂时补充流动资金的议案》，公司以总额不超过人民币</w:t>
            </w:r>
            <w:r w:rsidRPr="00F50B51">
              <w:rPr>
                <w:rFonts w:ascii="宋体" w:eastAsia="宋体" w:hAnsi="宋体" w:cs="宋体"/>
                <w:sz w:val="18"/>
                <w:szCs w:val="18"/>
              </w:rPr>
              <w:t xml:space="preserve">16,000 </w:t>
            </w:r>
            <w:r w:rsidRPr="00F50B51">
              <w:rPr>
                <w:rFonts w:ascii="宋体" w:eastAsia="宋体" w:hAnsi="宋体" w:cs="宋体"/>
                <w:sz w:val="18"/>
                <w:szCs w:val="18"/>
              </w:rPr>
              <w:t>万元的闲置募集资金暂时补充其流动资金，本次补充流动资金的募集资金自经公司董事会审议批准之日起使用期限不超过</w:t>
            </w:r>
            <w:r w:rsidRPr="00F50B51">
              <w:rPr>
                <w:rFonts w:ascii="宋体" w:eastAsia="宋体" w:hAnsi="宋体" w:cs="宋体"/>
                <w:sz w:val="18"/>
                <w:szCs w:val="18"/>
              </w:rPr>
              <w:t>12</w:t>
            </w:r>
            <w:r w:rsidRPr="00F50B51">
              <w:rPr>
                <w:rFonts w:ascii="宋体" w:eastAsia="宋体" w:hAnsi="宋体" w:cs="宋体"/>
                <w:sz w:val="18"/>
                <w:szCs w:val="18"/>
              </w:rPr>
              <w:t>个月，到期将归还至公司募集资金专用账户。监事会、独立董事、保荐机构对此发表同意的意见。截至</w:t>
            </w: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日止，上述闲置募集资金已归还至公司</w:t>
            </w:r>
            <w:r w:rsidRPr="00F50B51">
              <w:rPr>
                <w:rFonts w:ascii="宋体" w:eastAsia="宋体" w:hAnsi="宋体" w:cs="宋体"/>
                <w:sz w:val="18"/>
                <w:szCs w:val="18"/>
              </w:rPr>
              <w:t>募集资金专用账户。</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w:t>
            </w:r>
            <w:r w:rsidRPr="00F50B51">
              <w:rPr>
                <w:rFonts w:ascii="宋体" w:eastAsia="宋体" w:hAnsi="宋体" w:cs="宋体"/>
                <w:sz w:val="18"/>
                <w:szCs w:val="18"/>
              </w:rPr>
              <w:t>8</w:t>
            </w:r>
            <w:r w:rsidRPr="00F50B51">
              <w:rPr>
                <w:rFonts w:ascii="宋体" w:eastAsia="宋体" w:hAnsi="宋体" w:cs="宋体"/>
                <w:sz w:val="18"/>
                <w:szCs w:val="18"/>
              </w:rPr>
              <w:t>月</w:t>
            </w:r>
            <w:r w:rsidRPr="00F50B51">
              <w:rPr>
                <w:rFonts w:ascii="宋体" w:eastAsia="宋体" w:hAnsi="宋体" w:cs="宋体"/>
                <w:sz w:val="18"/>
                <w:szCs w:val="18"/>
              </w:rPr>
              <w:t>16</w:t>
            </w:r>
            <w:r w:rsidRPr="00F50B51">
              <w:rPr>
                <w:rFonts w:ascii="宋体" w:eastAsia="宋体" w:hAnsi="宋体" w:cs="宋体"/>
                <w:sz w:val="18"/>
                <w:szCs w:val="18"/>
              </w:rPr>
              <w:t>日，公司第四届董事会</w:t>
            </w:r>
            <w:r w:rsidRPr="00F50B51">
              <w:rPr>
                <w:rFonts w:ascii="宋体" w:eastAsia="宋体" w:hAnsi="宋体" w:cs="宋体"/>
                <w:sz w:val="18"/>
                <w:szCs w:val="18"/>
              </w:rPr>
              <w:t>2021</w:t>
            </w:r>
            <w:r w:rsidRPr="00F50B51">
              <w:rPr>
                <w:rFonts w:ascii="宋体" w:eastAsia="宋体" w:hAnsi="宋体" w:cs="宋体"/>
                <w:sz w:val="18"/>
                <w:szCs w:val="18"/>
              </w:rPr>
              <w:t>年第二次临时会议、第四届监事会第三次会议审议通过了《关于使用部分闲置募集资金暂时补充流动资金的议案》，公司以总额不超过人民币</w:t>
            </w:r>
            <w:r w:rsidRPr="00F50B51">
              <w:rPr>
                <w:rFonts w:ascii="宋体" w:eastAsia="宋体" w:hAnsi="宋体" w:cs="宋体"/>
                <w:sz w:val="18"/>
                <w:szCs w:val="18"/>
              </w:rPr>
              <w:t>15,000</w:t>
            </w:r>
            <w:r w:rsidRPr="00F50B51">
              <w:rPr>
                <w:rFonts w:ascii="宋体" w:eastAsia="宋体" w:hAnsi="宋体" w:cs="宋体"/>
                <w:sz w:val="18"/>
                <w:szCs w:val="18"/>
              </w:rPr>
              <w:t>万元的闲置募集资金暂时补充其流动资金，本次补充流动资金的募集资金自经公司董事会审议批准之日起使用期限不超过</w:t>
            </w:r>
            <w:r w:rsidRPr="00F50B51">
              <w:rPr>
                <w:rFonts w:ascii="宋体" w:eastAsia="宋体" w:hAnsi="宋体" w:cs="宋体"/>
                <w:sz w:val="18"/>
                <w:szCs w:val="18"/>
              </w:rPr>
              <w:t>12</w:t>
            </w:r>
            <w:r w:rsidRPr="00F50B51">
              <w:rPr>
                <w:rFonts w:ascii="宋体" w:eastAsia="宋体" w:hAnsi="宋体" w:cs="宋体"/>
                <w:sz w:val="18"/>
                <w:szCs w:val="18"/>
              </w:rPr>
              <w:t>个月，到期将归还至公司募集资金专用账户。监事会、独立董事、保荐机构对此发表同意的意见。截至</w:t>
            </w: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日止，上述闲置募集资金已归还至公司募集资金专用账户。</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4</w:t>
            </w:r>
            <w:r w:rsidRPr="00F50B51">
              <w:rPr>
                <w:rFonts w:ascii="宋体" w:eastAsia="宋体" w:hAnsi="宋体" w:cs="宋体"/>
                <w:sz w:val="18"/>
                <w:szCs w:val="18"/>
              </w:rPr>
              <w:t>月</w:t>
            </w:r>
            <w:r w:rsidRPr="00F50B51">
              <w:rPr>
                <w:rFonts w:ascii="宋体" w:eastAsia="宋体" w:hAnsi="宋体" w:cs="宋体"/>
                <w:sz w:val="18"/>
                <w:szCs w:val="18"/>
              </w:rPr>
              <w:t>29</w:t>
            </w:r>
            <w:r w:rsidRPr="00F50B51">
              <w:rPr>
                <w:rFonts w:ascii="宋体" w:eastAsia="宋体" w:hAnsi="宋体" w:cs="宋体"/>
                <w:sz w:val="18"/>
                <w:szCs w:val="18"/>
              </w:rPr>
              <w:t>日，公司第四届董事会</w:t>
            </w:r>
            <w:r w:rsidRPr="00F50B51">
              <w:rPr>
                <w:rFonts w:ascii="宋体" w:eastAsia="宋体" w:hAnsi="宋体" w:cs="宋体"/>
                <w:sz w:val="18"/>
                <w:szCs w:val="18"/>
              </w:rPr>
              <w:t xml:space="preserve"> 2022 </w:t>
            </w:r>
            <w:r w:rsidRPr="00F50B51">
              <w:rPr>
                <w:rFonts w:ascii="宋体" w:eastAsia="宋体" w:hAnsi="宋体" w:cs="宋体"/>
                <w:sz w:val="18"/>
                <w:szCs w:val="18"/>
              </w:rPr>
              <w:t>年第一次临时会议、第四届监事会第八次会议审议通过了《关于变更部分募集资金用途并永久补充流动资金的议案》，同意终止公司可转债募投项目</w:t>
            </w:r>
            <w:r w:rsidRPr="00F50B51">
              <w:rPr>
                <w:rFonts w:ascii="宋体" w:eastAsia="宋体" w:hAnsi="宋体" w:cs="宋体"/>
                <w:sz w:val="18"/>
                <w:szCs w:val="18"/>
              </w:rPr>
              <w:t>“</w:t>
            </w:r>
            <w:r w:rsidRPr="00F50B51">
              <w:rPr>
                <w:rFonts w:ascii="宋体" w:eastAsia="宋体" w:hAnsi="宋体" w:cs="宋体"/>
                <w:sz w:val="18"/>
                <w:szCs w:val="18"/>
              </w:rPr>
              <w:t>年产</w:t>
            </w:r>
            <w:r w:rsidRPr="00F50B51">
              <w:rPr>
                <w:rFonts w:ascii="宋体" w:eastAsia="宋体" w:hAnsi="宋体" w:cs="宋体"/>
                <w:sz w:val="18"/>
                <w:szCs w:val="18"/>
              </w:rPr>
              <w:t xml:space="preserve"> 600 </w:t>
            </w:r>
            <w:r w:rsidRPr="00F50B51">
              <w:rPr>
                <w:rFonts w:ascii="宋体" w:eastAsia="宋体" w:hAnsi="宋体" w:cs="宋体"/>
                <w:sz w:val="18"/>
                <w:szCs w:val="18"/>
              </w:rPr>
              <w:t>万支精密特种硬质合金切削工具智能制造项目</w:t>
            </w:r>
            <w:r w:rsidRPr="00F50B51">
              <w:rPr>
                <w:rFonts w:ascii="宋体" w:eastAsia="宋体" w:hAnsi="宋体" w:cs="宋体"/>
                <w:sz w:val="18"/>
                <w:szCs w:val="18"/>
              </w:rPr>
              <w:t>”</w:t>
            </w:r>
            <w:r w:rsidRPr="00F50B51">
              <w:rPr>
                <w:rFonts w:ascii="宋体" w:eastAsia="宋体" w:hAnsi="宋体" w:cs="宋体"/>
                <w:sz w:val="18"/>
                <w:szCs w:val="18"/>
              </w:rPr>
              <w:t>并将剩余募集资金</w:t>
            </w:r>
            <w:r w:rsidRPr="00F50B51">
              <w:rPr>
                <w:rFonts w:ascii="宋体" w:eastAsia="宋体" w:hAnsi="宋体" w:cs="宋体"/>
                <w:sz w:val="18"/>
                <w:szCs w:val="18"/>
              </w:rPr>
              <w:t xml:space="preserve"> 14,789.28 </w:t>
            </w:r>
            <w:r w:rsidRPr="00F50B51">
              <w:rPr>
                <w:rFonts w:ascii="宋体" w:eastAsia="宋体" w:hAnsi="宋体" w:cs="宋体"/>
                <w:sz w:val="18"/>
                <w:szCs w:val="18"/>
              </w:rPr>
              <w:t>万元（含利息收入，具体金额以资金转出当日银行结息余额为准）全部永久性补充流动资金，用于公司日常经营活动。截至</w:t>
            </w: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日止，永久性补充流动资产金额</w:t>
            </w:r>
            <w:r w:rsidRPr="00F50B51">
              <w:rPr>
                <w:rFonts w:ascii="宋体" w:eastAsia="宋体" w:hAnsi="宋体" w:cs="宋体"/>
                <w:sz w:val="18"/>
                <w:szCs w:val="18"/>
              </w:rPr>
              <w:t>148,009,977.21</w:t>
            </w:r>
            <w:r w:rsidRPr="00F50B51">
              <w:rPr>
                <w:rFonts w:ascii="宋体" w:eastAsia="宋体" w:hAnsi="宋体" w:cs="宋体"/>
                <w:sz w:val="18"/>
                <w:szCs w:val="18"/>
              </w:rPr>
              <w:t>元。</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lastRenderedPageBreak/>
              <w:t>项目实施出现募集资金结余的金额及原因</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不适用</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尚未使用的募集资金用途及去向</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尚未使用的募集资金人民币</w:t>
            </w:r>
            <w:r w:rsidRPr="00F50B51">
              <w:rPr>
                <w:rFonts w:ascii="宋体" w:eastAsia="宋体" w:hAnsi="宋体" w:cs="宋体"/>
                <w:sz w:val="18"/>
                <w:szCs w:val="18"/>
              </w:rPr>
              <w:t>33,411,591.81</w:t>
            </w:r>
            <w:r w:rsidRPr="00F50B51">
              <w:rPr>
                <w:rFonts w:ascii="宋体" w:eastAsia="宋体" w:hAnsi="宋体" w:cs="宋体"/>
                <w:sz w:val="18"/>
                <w:szCs w:val="18"/>
              </w:rPr>
              <w:t>元，占公司公开发行可转换公司债券募集资金净额的</w:t>
            </w:r>
            <w:r w:rsidRPr="00F50B51">
              <w:rPr>
                <w:rFonts w:ascii="宋体" w:eastAsia="宋体" w:hAnsi="宋体" w:cs="宋体"/>
                <w:sz w:val="18"/>
                <w:szCs w:val="18"/>
              </w:rPr>
              <w:t>11.51%</w:t>
            </w:r>
            <w:r w:rsidRPr="00F50B51">
              <w:rPr>
                <w:rFonts w:ascii="宋体" w:eastAsia="宋体" w:hAnsi="宋体" w:cs="宋体"/>
                <w:sz w:val="18"/>
                <w:szCs w:val="18"/>
              </w:rPr>
              <w:t>。募集资金尚未使用完毕的原因是公司拟将</w:t>
            </w:r>
            <w:r w:rsidRPr="00F50B51">
              <w:rPr>
                <w:rFonts w:ascii="宋体" w:eastAsia="宋体" w:hAnsi="宋体" w:cs="宋体"/>
                <w:sz w:val="18"/>
                <w:szCs w:val="18"/>
              </w:rPr>
              <w:t>“</w:t>
            </w:r>
            <w:r w:rsidRPr="00F50B51">
              <w:rPr>
                <w:rFonts w:ascii="宋体" w:eastAsia="宋体" w:hAnsi="宋体" w:cs="宋体"/>
                <w:sz w:val="18"/>
                <w:szCs w:val="18"/>
              </w:rPr>
              <w:t>年产</w:t>
            </w:r>
            <w:r w:rsidRPr="00F50B51">
              <w:rPr>
                <w:rFonts w:ascii="宋体" w:eastAsia="宋体" w:hAnsi="宋体" w:cs="宋体"/>
                <w:sz w:val="18"/>
                <w:szCs w:val="18"/>
              </w:rPr>
              <w:t>800t</w:t>
            </w:r>
            <w:r w:rsidRPr="00F50B51">
              <w:rPr>
                <w:rFonts w:ascii="宋体" w:eastAsia="宋体" w:hAnsi="宋体" w:cs="宋体"/>
                <w:sz w:val="18"/>
                <w:szCs w:val="18"/>
              </w:rPr>
              <w:t>特种超硬合金智能化生产项目</w:t>
            </w:r>
            <w:r w:rsidRPr="00F50B51">
              <w:rPr>
                <w:rFonts w:ascii="宋体" w:eastAsia="宋体" w:hAnsi="宋体" w:cs="宋体"/>
                <w:sz w:val="18"/>
                <w:szCs w:val="18"/>
              </w:rPr>
              <w:t>”</w:t>
            </w:r>
            <w:r w:rsidRPr="00F50B51">
              <w:rPr>
                <w:rFonts w:ascii="宋体" w:eastAsia="宋体" w:hAnsi="宋体" w:cs="宋体"/>
                <w:sz w:val="18"/>
                <w:szCs w:val="18"/>
              </w:rPr>
              <w:t>的建设期延长一年，募集资金投资项目尚在建设中，部分款项尚未结算，尚未使用的募集资金后续将继续用于募集资金投资项目建设。</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募集资金使用及披露中存在的问题或其他情况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bl>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4" w:name="_Toc988922"/>
      <w:r w:rsidRPr="00F50B51">
        <w:rPr>
          <w:rFonts w:ascii="宋体" w:eastAsia="宋体" w:hAnsi="宋体" w:cs="宋体"/>
          <w:b/>
          <w:bCs/>
          <w:sz w:val="18"/>
          <w:szCs w:val="18"/>
        </w:rPr>
        <w:t>（</w:t>
      </w:r>
      <w:r w:rsidRPr="00F50B51">
        <w:rPr>
          <w:rFonts w:ascii="宋体" w:eastAsia="宋体" w:hAnsi="宋体" w:cs="宋体"/>
          <w:b/>
          <w:bCs/>
          <w:sz w:val="18"/>
          <w:szCs w:val="18"/>
        </w:rPr>
        <w:t>3</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募集资金变更项目情况</w:t>
      </w:r>
      <w:bookmarkEnd w:id="34"/>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lastRenderedPageBreak/>
        <w:t>单位：万元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63"/>
        <w:gridCol w:w="964"/>
        <w:gridCol w:w="964"/>
        <w:gridCol w:w="964"/>
        <w:gridCol w:w="964"/>
        <w:gridCol w:w="964"/>
        <w:gridCol w:w="964"/>
        <w:gridCol w:w="964"/>
        <w:gridCol w:w="964"/>
        <w:gridCol w:w="964"/>
      </w:tblGrid>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变更后的项目</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对应的原承诺项目</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变更后项目拟投入募集资金总额</w:t>
            </w:r>
            <w:r w:rsidRPr="00F50B51">
              <w:rPr>
                <w:rFonts w:ascii="宋体" w:eastAsia="宋体" w:hAnsi="宋体" w:cs="宋体"/>
                <w:sz w:val="18"/>
                <w:szCs w:val="18"/>
              </w:rPr>
              <w:t>(1)</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本报告期实际投入金额</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截至期末实际累计投入金额</w:t>
            </w:r>
            <w:r w:rsidRPr="00F50B51">
              <w:rPr>
                <w:rFonts w:ascii="宋体" w:eastAsia="宋体" w:hAnsi="宋体" w:cs="宋体"/>
                <w:sz w:val="18"/>
                <w:szCs w:val="18"/>
              </w:rPr>
              <w:t>(2)</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截至期末投资进度</w:t>
            </w:r>
            <w:r w:rsidRPr="00F50B51">
              <w:rPr>
                <w:rFonts w:ascii="宋体" w:eastAsia="宋体" w:hAnsi="宋体" w:cs="宋体"/>
                <w:sz w:val="18"/>
                <w:szCs w:val="18"/>
              </w:rPr>
              <w:t>(3)=(2)/(1)</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项目达到预定可使用状态日期</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本报告期实现的效益</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是否达到预计效益</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变更后的项目可行性是否发生重大变化</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永久补充流动资金</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年产</w:t>
            </w:r>
            <w:r w:rsidRPr="00F50B51">
              <w:rPr>
                <w:rFonts w:ascii="宋体" w:eastAsia="宋体" w:hAnsi="宋体" w:cs="宋体"/>
                <w:sz w:val="18"/>
                <w:szCs w:val="18"/>
              </w:rPr>
              <w:t>600</w:t>
            </w:r>
            <w:r w:rsidRPr="00F50B51">
              <w:rPr>
                <w:rFonts w:ascii="宋体" w:eastAsia="宋体" w:hAnsi="宋体" w:cs="宋体"/>
                <w:sz w:val="18"/>
                <w:szCs w:val="18"/>
              </w:rPr>
              <w:t>万支精密特种硬质合金切削工具智能制造项目</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14,801</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14,801</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14,801</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不适用</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14,801</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14,801</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14,801</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r>
      <w:tr w:rsidR="0058782B" w:rsidRPr="00F50B51">
        <w:trPr>
          <w:trHeight w:val="240"/>
        </w:trPr>
        <w:tc>
          <w:tcPr>
            <w:tcW w:w="2892"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变更原因、决策程序及信息披露情况说明</w:t>
            </w:r>
            <w:r w:rsidRPr="00F50B51">
              <w:rPr>
                <w:rFonts w:ascii="宋体" w:eastAsia="宋体" w:hAnsi="宋体" w:cs="宋体"/>
                <w:sz w:val="18"/>
                <w:szCs w:val="18"/>
              </w:rPr>
              <w:t>(</w:t>
            </w:r>
            <w:r w:rsidRPr="00F50B51">
              <w:rPr>
                <w:rFonts w:ascii="宋体" w:eastAsia="宋体" w:hAnsi="宋体" w:cs="宋体"/>
                <w:sz w:val="18"/>
                <w:szCs w:val="18"/>
              </w:rPr>
              <w:t>分具体项目</w:t>
            </w:r>
            <w:r w:rsidRPr="00F50B51">
              <w:rPr>
                <w:rFonts w:ascii="宋体" w:eastAsia="宋体" w:hAnsi="宋体" w:cs="宋体"/>
                <w:sz w:val="18"/>
                <w:szCs w:val="18"/>
              </w:rPr>
              <w:t>)</w:t>
            </w:r>
          </w:p>
        </w:tc>
        <w:tc>
          <w:tcPr>
            <w:tcW w:w="6747"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受近年市场各方面不确定性因素以及全球新冠肺炎疫情的影响，公司放缓了可转债募投项目</w:t>
            </w:r>
            <w:r w:rsidRPr="00F50B51">
              <w:rPr>
                <w:rFonts w:ascii="宋体" w:eastAsia="宋体" w:hAnsi="宋体" w:cs="宋体"/>
                <w:sz w:val="18"/>
                <w:szCs w:val="18"/>
              </w:rPr>
              <w:t>“</w:t>
            </w:r>
            <w:r w:rsidRPr="00F50B51">
              <w:rPr>
                <w:rFonts w:ascii="宋体" w:eastAsia="宋体" w:hAnsi="宋体" w:cs="宋体"/>
                <w:sz w:val="18"/>
                <w:szCs w:val="18"/>
              </w:rPr>
              <w:t>年产</w:t>
            </w:r>
            <w:r w:rsidRPr="00F50B51">
              <w:rPr>
                <w:rFonts w:ascii="宋体" w:eastAsia="宋体" w:hAnsi="宋体" w:cs="宋体"/>
                <w:sz w:val="18"/>
                <w:szCs w:val="18"/>
              </w:rPr>
              <w:t>600</w:t>
            </w:r>
            <w:r w:rsidRPr="00F50B51">
              <w:rPr>
                <w:rFonts w:ascii="宋体" w:eastAsia="宋体" w:hAnsi="宋体" w:cs="宋体"/>
                <w:sz w:val="18"/>
                <w:szCs w:val="18"/>
              </w:rPr>
              <w:t>万支精密特种硬质合金切削工具智能制造项目</w:t>
            </w:r>
            <w:r w:rsidRPr="00F50B51">
              <w:rPr>
                <w:rFonts w:ascii="宋体" w:eastAsia="宋体" w:hAnsi="宋体" w:cs="宋体"/>
                <w:sz w:val="18"/>
                <w:szCs w:val="18"/>
              </w:rPr>
              <w:t>”</w:t>
            </w:r>
            <w:r w:rsidRPr="00F50B51">
              <w:rPr>
                <w:rFonts w:ascii="宋体" w:eastAsia="宋体" w:hAnsi="宋体" w:cs="宋体"/>
                <w:sz w:val="18"/>
                <w:szCs w:val="18"/>
              </w:rPr>
              <w:t>的投资进度，截至</w:t>
            </w:r>
            <w:r w:rsidRPr="00F50B51">
              <w:rPr>
                <w:rFonts w:ascii="宋体" w:eastAsia="宋体" w:hAnsi="宋体" w:cs="宋体"/>
                <w:sz w:val="18"/>
                <w:szCs w:val="18"/>
              </w:rPr>
              <w:t>2021</w:t>
            </w:r>
            <w:r w:rsidRPr="00F50B51">
              <w:rPr>
                <w:rFonts w:ascii="宋体" w:eastAsia="宋体" w:hAnsi="宋体" w:cs="宋体"/>
                <w:sz w:val="18"/>
                <w:szCs w:val="18"/>
              </w:rPr>
              <w:t>年</w:t>
            </w:r>
            <w:r w:rsidRPr="00F50B51">
              <w:rPr>
                <w:rFonts w:ascii="宋体" w:eastAsia="宋体" w:hAnsi="宋体" w:cs="宋体"/>
                <w:sz w:val="18"/>
                <w:szCs w:val="18"/>
              </w:rPr>
              <w:t>12</w:t>
            </w:r>
            <w:r w:rsidRPr="00F50B51">
              <w:rPr>
                <w:rFonts w:ascii="宋体" w:eastAsia="宋体" w:hAnsi="宋体" w:cs="宋体"/>
                <w:sz w:val="18"/>
                <w:szCs w:val="18"/>
              </w:rPr>
              <w:t>月</w:t>
            </w:r>
            <w:r w:rsidRPr="00F50B51">
              <w:rPr>
                <w:rFonts w:ascii="宋体" w:eastAsia="宋体" w:hAnsi="宋体" w:cs="宋体"/>
                <w:sz w:val="18"/>
                <w:szCs w:val="18"/>
              </w:rPr>
              <w:t>31</w:t>
            </w:r>
            <w:r w:rsidRPr="00F50B51">
              <w:rPr>
                <w:rFonts w:ascii="宋体" w:eastAsia="宋体" w:hAnsi="宋体" w:cs="宋体"/>
                <w:sz w:val="18"/>
                <w:szCs w:val="18"/>
              </w:rPr>
              <w:t>日，该项目累计投入</w:t>
            </w:r>
            <w:r w:rsidRPr="00F50B51">
              <w:rPr>
                <w:rFonts w:ascii="宋体" w:eastAsia="宋体" w:hAnsi="宋体" w:cs="宋体"/>
                <w:sz w:val="18"/>
                <w:szCs w:val="18"/>
              </w:rPr>
              <w:t>534.50</w:t>
            </w:r>
            <w:r w:rsidRPr="00F50B51">
              <w:rPr>
                <w:rFonts w:ascii="宋体" w:eastAsia="宋体" w:hAnsi="宋体" w:cs="宋体"/>
                <w:sz w:val="18"/>
                <w:szCs w:val="18"/>
              </w:rPr>
              <w:t>万元，投资进度为</w:t>
            </w:r>
            <w:r w:rsidRPr="00F50B51">
              <w:rPr>
                <w:rFonts w:ascii="宋体" w:eastAsia="宋体" w:hAnsi="宋体" w:cs="宋体"/>
                <w:sz w:val="18"/>
                <w:szCs w:val="18"/>
              </w:rPr>
              <w:t>3.56%</w:t>
            </w:r>
            <w:r w:rsidRPr="00F50B51">
              <w:rPr>
                <w:rFonts w:ascii="宋体" w:eastAsia="宋体" w:hAnsi="宋体" w:cs="宋体"/>
                <w:sz w:val="18"/>
                <w:szCs w:val="18"/>
              </w:rPr>
              <w:t>。公司在结合当前行业发展状况及自身经营、资金情况，经过综合分析及审慎考量后，认为如可转债募投项目</w:t>
            </w:r>
            <w:r w:rsidRPr="00F50B51">
              <w:rPr>
                <w:rFonts w:ascii="宋体" w:eastAsia="宋体" w:hAnsi="宋体" w:cs="宋体"/>
                <w:sz w:val="18"/>
                <w:szCs w:val="18"/>
              </w:rPr>
              <w:t>“</w:t>
            </w:r>
            <w:r w:rsidRPr="00F50B51">
              <w:rPr>
                <w:rFonts w:ascii="宋体" w:eastAsia="宋体" w:hAnsi="宋体" w:cs="宋体"/>
                <w:sz w:val="18"/>
                <w:szCs w:val="18"/>
              </w:rPr>
              <w:t>年产</w:t>
            </w:r>
            <w:r w:rsidRPr="00F50B51">
              <w:rPr>
                <w:rFonts w:ascii="宋体" w:eastAsia="宋体" w:hAnsi="宋体" w:cs="宋体"/>
                <w:sz w:val="18"/>
                <w:szCs w:val="18"/>
              </w:rPr>
              <w:t>600</w:t>
            </w:r>
            <w:r w:rsidRPr="00F50B51">
              <w:rPr>
                <w:rFonts w:ascii="宋体" w:eastAsia="宋体" w:hAnsi="宋体" w:cs="宋体"/>
                <w:sz w:val="18"/>
                <w:szCs w:val="18"/>
              </w:rPr>
              <w:t>万支精密特种硬质合金切削工具智能制造项目</w:t>
            </w:r>
            <w:r w:rsidRPr="00F50B51">
              <w:rPr>
                <w:rFonts w:ascii="宋体" w:eastAsia="宋体" w:hAnsi="宋体" w:cs="宋体"/>
                <w:sz w:val="18"/>
                <w:szCs w:val="18"/>
              </w:rPr>
              <w:t>”</w:t>
            </w:r>
            <w:r w:rsidRPr="00F50B51">
              <w:rPr>
                <w:rFonts w:ascii="宋体" w:eastAsia="宋体" w:hAnsi="宋体" w:cs="宋体"/>
                <w:sz w:val="18"/>
                <w:szCs w:val="18"/>
              </w:rPr>
              <w:t>按原计划继续投入，将难以达到预期目标。为保证募集资金的有效使用、避免造成投资损失，亦结合公司实际生产经营需要，本着谨慎使用募集资金及维护</w:t>
            </w:r>
            <w:r w:rsidRPr="00F50B51">
              <w:rPr>
                <w:rFonts w:ascii="宋体" w:eastAsia="宋体" w:hAnsi="宋体" w:cs="宋体"/>
                <w:sz w:val="18"/>
                <w:szCs w:val="18"/>
              </w:rPr>
              <w:t>全体股东权益的原则，经过审慎研究论证，公司终止了募投项目</w:t>
            </w:r>
            <w:r w:rsidRPr="00F50B51">
              <w:rPr>
                <w:rFonts w:ascii="宋体" w:eastAsia="宋体" w:hAnsi="宋体" w:cs="宋体"/>
                <w:sz w:val="18"/>
                <w:szCs w:val="18"/>
              </w:rPr>
              <w:t>“</w:t>
            </w:r>
            <w:r w:rsidRPr="00F50B51">
              <w:rPr>
                <w:rFonts w:ascii="宋体" w:eastAsia="宋体" w:hAnsi="宋体" w:cs="宋体"/>
                <w:sz w:val="18"/>
                <w:szCs w:val="18"/>
              </w:rPr>
              <w:t>年产</w:t>
            </w:r>
            <w:r w:rsidRPr="00F50B51">
              <w:rPr>
                <w:rFonts w:ascii="宋体" w:eastAsia="宋体" w:hAnsi="宋体" w:cs="宋体"/>
                <w:sz w:val="18"/>
                <w:szCs w:val="18"/>
              </w:rPr>
              <w:t xml:space="preserve"> 600 </w:t>
            </w:r>
            <w:r w:rsidRPr="00F50B51">
              <w:rPr>
                <w:rFonts w:ascii="宋体" w:eastAsia="宋体" w:hAnsi="宋体" w:cs="宋体"/>
                <w:sz w:val="18"/>
                <w:szCs w:val="18"/>
              </w:rPr>
              <w:t>万支精密特种硬质合金切削工具智能制造项目</w:t>
            </w:r>
            <w:r w:rsidRPr="00F50B51">
              <w:rPr>
                <w:rFonts w:ascii="宋体" w:eastAsia="宋体" w:hAnsi="宋体" w:cs="宋体"/>
                <w:sz w:val="18"/>
                <w:szCs w:val="18"/>
              </w:rPr>
              <w:t>”</w:t>
            </w:r>
            <w:r w:rsidRPr="00F50B51">
              <w:rPr>
                <w:rFonts w:ascii="宋体" w:eastAsia="宋体" w:hAnsi="宋体" w:cs="宋体"/>
                <w:sz w:val="18"/>
                <w:szCs w:val="18"/>
              </w:rPr>
              <w:t>的投资。监事会、独立董事、保荐机构对此发表同意的意见。</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4</w:t>
            </w:r>
            <w:r w:rsidRPr="00F50B51">
              <w:rPr>
                <w:rFonts w:ascii="宋体" w:eastAsia="宋体" w:hAnsi="宋体" w:cs="宋体"/>
                <w:sz w:val="18"/>
                <w:szCs w:val="18"/>
              </w:rPr>
              <w:t>月</w:t>
            </w:r>
            <w:r w:rsidRPr="00F50B51">
              <w:rPr>
                <w:rFonts w:ascii="宋体" w:eastAsia="宋体" w:hAnsi="宋体" w:cs="宋体"/>
                <w:sz w:val="18"/>
                <w:szCs w:val="18"/>
              </w:rPr>
              <w:t>29</w:t>
            </w:r>
            <w:r w:rsidRPr="00F50B51">
              <w:rPr>
                <w:rFonts w:ascii="宋体" w:eastAsia="宋体" w:hAnsi="宋体" w:cs="宋体"/>
                <w:sz w:val="18"/>
                <w:szCs w:val="18"/>
              </w:rPr>
              <w:t>日，公司第四届董事会</w:t>
            </w:r>
            <w:r w:rsidRPr="00F50B51">
              <w:rPr>
                <w:rFonts w:ascii="宋体" w:eastAsia="宋体" w:hAnsi="宋体" w:cs="宋体"/>
                <w:sz w:val="18"/>
                <w:szCs w:val="18"/>
              </w:rPr>
              <w:t xml:space="preserve"> 2022 </w:t>
            </w:r>
            <w:r w:rsidRPr="00F50B51">
              <w:rPr>
                <w:rFonts w:ascii="宋体" w:eastAsia="宋体" w:hAnsi="宋体" w:cs="宋体"/>
                <w:sz w:val="18"/>
                <w:szCs w:val="18"/>
              </w:rPr>
              <w:t>年第一次临时会议、第四届监事会第八次会议审议通过了《关于变更部分募集资金用途并永久补充流动资金的议案》，同意终止公司可转债募投项目</w:t>
            </w:r>
            <w:r w:rsidRPr="00F50B51">
              <w:rPr>
                <w:rFonts w:ascii="宋体" w:eastAsia="宋体" w:hAnsi="宋体" w:cs="宋体"/>
                <w:sz w:val="18"/>
                <w:szCs w:val="18"/>
              </w:rPr>
              <w:t>“</w:t>
            </w:r>
            <w:r w:rsidRPr="00F50B51">
              <w:rPr>
                <w:rFonts w:ascii="宋体" w:eastAsia="宋体" w:hAnsi="宋体" w:cs="宋体"/>
                <w:sz w:val="18"/>
                <w:szCs w:val="18"/>
              </w:rPr>
              <w:t>年产</w:t>
            </w:r>
            <w:r w:rsidRPr="00F50B51">
              <w:rPr>
                <w:rFonts w:ascii="宋体" w:eastAsia="宋体" w:hAnsi="宋体" w:cs="宋体"/>
                <w:sz w:val="18"/>
                <w:szCs w:val="18"/>
              </w:rPr>
              <w:t xml:space="preserve"> 600 </w:t>
            </w:r>
            <w:r w:rsidRPr="00F50B51">
              <w:rPr>
                <w:rFonts w:ascii="宋体" w:eastAsia="宋体" w:hAnsi="宋体" w:cs="宋体"/>
                <w:sz w:val="18"/>
                <w:szCs w:val="18"/>
              </w:rPr>
              <w:t>万支精密特种硬质合金切削工具智能制造项目</w:t>
            </w:r>
            <w:r w:rsidRPr="00F50B51">
              <w:rPr>
                <w:rFonts w:ascii="宋体" w:eastAsia="宋体" w:hAnsi="宋体" w:cs="宋体"/>
                <w:sz w:val="18"/>
                <w:szCs w:val="18"/>
              </w:rPr>
              <w:t>”</w:t>
            </w:r>
            <w:r w:rsidRPr="00F50B51">
              <w:rPr>
                <w:rFonts w:ascii="宋体" w:eastAsia="宋体" w:hAnsi="宋体" w:cs="宋体"/>
                <w:sz w:val="18"/>
                <w:szCs w:val="18"/>
              </w:rPr>
              <w:t>并将剩余募集资金</w:t>
            </w:r>
            <w:r w:rsidRPr="00F50B51">
              <w:rPr>
                <w:rFonts w:ascii="宋体" w:eastAsia="宋体" w:hAnsi="宋体" w:cs="宋体"/>
                <w:sz w:val="18"/>
                <w:szCs w:val="18"/>
              </w:rPr>
              <w:t xml:space="preserve"> 14,789.28 </w:t>
            </w:r>
            <w:r w:rsidRPr="00F50B51">
              <w:rPr>
                <w:rFonts w:ascii="宋体" w:eastAsia="宋体" w:hAnsi="宋体" w:cs="宋体"/>
                <w:sz w:val="18"/>
                <w:szCs w:val="18"/>
              </w:rPr>
              <w:t>万元（含利息收入，具体金额以资金转出当日银行结息余额为准）全部永久</w:t>
            </w:r>
            <w:r w:rsidRPr="00F50B51">
              <w:rPr>
                <w:rFonts w:ascii="宋体" w:eastAsia="宋体" w:hAnsi="宋体" w:cs="宋体"/>
                <w:sz w:val="18"/>
                <w:szCs w:val="18"/>
              </w:rPr>
              <w:t>性补充流动资金，用于公司日常经营活动。截至</w:t>
            </w: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日止，永久性补充流动资金金额</w:t>
            </w:r>
            <w:r w:rsidRPr="00F50B51">
              <w:rPr>
                <w:rFonts w:ascii="宋体" w:eastAsia="宋体" w:hAnsi="宋体" w:cs="宋体"/>
                <w:sz w:val="18"/>
                <w:szCs w:val="18"/>
              </w:rPr>
              <w:t>148,009,977.21</w:t>
            </w:r>
            <w:r w:rsidRPr="00F50B51">
              <w:rPr>
                <w:rFonts w:ascii="宋体" w:eastAsia="宋体" w:hAnsi="宋体" w:cs="宋体"/>
                <w:sz w:val="18"/>
                <w:szCs w:val="18"/>
              </w:rPr>
              <w:t>元。</w:t>
            </w:r>
          </w:p>
        </w:tc>
      </w:tr>
      <w:tr w:rsidR="0058782B" w:rsidRPr="00F50B51">
        <w:trPr>
          <w:trHeight w:val="240"/>
        </w:trPr>
        <w:tc>
          <w:tcPr>
            <w:tcW w:w="2892"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未达到计划进度或预计收益的情况和原因</w:t>
            </w:r>
            <w:r w:rsidRPr="00F50B51">
              <w:rPr>
                <w:rFonts w:ascii="宋体" w:eastAsia="宋体" w:hAnsi="宋体" w:cs="宋体"/>
                <w:sz w:val="18"/>
                <w:szCs w:val="18"/>
              </w:rPr>
              <w:t>(</w:t>
            </w:r>
            <w:r w:rsidRPr="00F50B51">
              <w:rPr>
                <w:rFonts w:ascii="宋体" w:eastAsia="宋体" w:hAnsi="宋体" w:cs="宋体"/>
                <w:sz w:val="18"/>
                <w:szCs w:val="18"/>
              </w:rPr>
              <w:t>分具体项目</w:t>
            </w:r>
            <w:r w:rsidRPr="00F50B51">
              <w:rPr>
                <w:rFonts w:ascii="宋体" w:eastAsia="宋体" w:hAnsi="宋体" w:cs="宋体"/>
                <w:sz w:val="18"/>
                <w:szCs w:val="18"/>
              </w:rPr>
              <w:t>)</w:t>
            </w:r>
          </w:p>
        </w:tc>
        <w:tc>
          <w:tcPr>
            <w:tcW w:w="6747"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r w:rsidR="0058782B" w:rsidRPr="00F50B51">
        <w:trPr>
          <w:trHeight w:val="240"/>
        </w:trPr>
        <w:tc>
          <w:tcPr>
            <w:tcW w:w="2892"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变更后的项目可行性发生重大变化的情况说明</w:t>
            </w:r>
          </w:p>
        </w:tc>
        <w:tc>
          <w:tcPr>
            <w:tcW w:w="6747"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bl>
    <w:p w:rsidR="0058782B" w:rsidRPr="00F50B51" w:rsidRDefault="00F80EE7">
      <w:pPr>
        <w:pStyle w:val="2"/>
        <w:spacing w:before="300" w:after="300" w:line="320" w:lineRule="exact"/>
        <w:rPr>
          <w:rFonts w:ascii="宋体" w:eastAsia="宋体" w:hAnsi="宋体" w:cs="宋体"/>
          <w:b/>
          <w:bCs/>
          <w:sz w:val="24"/>
          <w:szCs w:val="24"/>
        </w:rPr>
      </w:pPr>
      <w:bookmarkStart w:id="35" w:name="_Toc988923"/>
      <w:r w:rsidRPr="00F50B51">
        <w:rPr>
          <w:rFonts w:ascii="宋体" w:eastAsia="宋体" w:hAnsi="宋体" w:cs="宋体"/>
          <w:b/>
          <w:bCs/>
          <w:sz w:val="24"/>
          <w:szCs w:val="24"/>
        </w:rPr>
        <w:t>七、重大资产和股权出售</w:t>
      </w:r>
      <w:bookmarkEnd w:id="35"/>
    </w:p>
    <w:p w:rsidR="0058782B" w:rsidRPr="00F50B51" w:rsidRDefault="00F80EE7">
      <w:pPr>
        <w:pStyle w:val="3"/>
        <w:spacing w:line="280" w:lineRule="exact"/>
        <w:jc w:val="left"/>
        <w:rPr>
          <w:rFonts w:ascii="宋体" w:hAnsi="宋体" w:cs="宋体"/>
          <w:b/>
          <w:bCs/>
        </w:rPr>
      </w:pPr>
      <w:bookmarkStart w:id="36" w:name="_Toc988924"/>
      <w:r w:rsidRPr="00F50B51">
        <w:rPr>
          <w:rFonts w:ascii="宋体" w:hAnsi="宋体" w:cs="宋体"/>
          <w:b/>
          <w:bCs/>
        </w:rPr>
        <w:t>1</w:t>
      </w:r>
      <w:r w:rsidRPr="00F50B51">
        <w:rPr>
          <w:rFonts w:ascii="宋体" w:hAnsi="宋体" w:cs="宋体"/>
          <w:b/>
          <w:bCs/>
        </w:rPr>
        <w:t>、出售重大资产情况</w:t>
      </w:r>
      <w:bookmarkEnd w:id="36"/>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公司报告期未出售重大资产。</w:t>
      </w:r>
    </w:p>
    <w:p w:rsidR="0058782B" w:rsidRPr="00F50B51" w:rsidRDefault="00F80EE7">
      <w:pPr>
        <w:pStyle w:val="3"/>
        <w:spacing w:line="280" w:lineRule="exact"/>
        <w:jc w:val="left"/>
        <w:rPr>
          <w:rFonts w:ascii="宋体" w:hAnsi="宋体" w:cs="宋体"/>
          <w:b/>
          <w:bCs/>
        </w:rPr>
      </w:pPr>
      <w:bookmarkStart w:id="37" w:name="_Toc988925"/>
      <w:r w:rsidRPr="00F50B51">
        <w:rPr>
          <w:rFonts w:ascii="宋体" w:hAnsi="宋体" w:cs="宋体"/>
          <w:b/>
          <w:bCs/>
        </w:rPr>
        <w:t>2</w:t>
      </w:r>
      <w:r w:rsidRPr="00F50B51">
        <w:rPr>
          <w:rFonts w:ascii="宋体" w:hAnsi="宋体" w:cs="宋体"/>
          <w:b/>
          <w:bCs/>
        </w:rPr>
        <w:t>、出售重大股权情况</w:t>
      </w:r>
      <w:bookmarkEnd w:id="37"/>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2"/>
        <w:spacing w:before="300" w:after="300" w:line="320" w:lineRule="exact"/>
        <w:rPr>
          <w:rFonts w:ascii="宋体" w:eastAsia="宋体" w:hAnsi="宋体" w:cs="宋体"/>
          <w:b/>
          <w:bCs/>
          <w:sz w:val="24"/>
          <w:szCs w:val="24"/>
        </w:rPr>
      </w:pPr>
      <w:bookmarkStart w:id="38" w:name="_Toc988926"/>
      <w:r w:rsidRPr="00F50B51">
        <w:rPr>
          <w:rFonts w:ascii="宋体" w:eastAsia="宋体" w:hAnsi="宋体" w:cs="宋体"/>
          <w:b/>
          <w:bCs/>
          <w:sz w:val="24"/>
          <w:szCs w:val="24"/>
        </w:rPr>
        <w:t>八、主要控股参股公司分析</w:t>
      </w:r>
      <w:bookmarkEnd w:id="38"/>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主要子公司及对公司净利润影响达</w:t>
      </w:r>
      <w:r w:rsidRPr="00F50B51">
        <w:rPr>
          <w:rFonts w:ascii="宋体" w:eastAsia="宋体" w:hAnsi="宋体" w:cs="宋体"/>
          <w:sz w:val="18"/>
          <w:szCs w:val="18"/>
        </w:rPr>
        <w:t>10%</w:t>
      </w:r>
      <w:r w:rsidRPr="00F50B51">
        <w:rPr>
          <w:rFonts w:ascii="宋体" w:eastAsia="宋体" w:hAnsi="宋体" w:cs="宋体"/>
          <w:sz w:val="18"/>
          <w:szCs w:val="18"/>
        </w:rPr>
        <w:t>以上的参股公司情况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公司名称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公司类型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主要业务</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注册资本</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总资产</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净资产</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营业利润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净利润</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江西翔鹭钨业有限公司</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子公司</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加工、销售钨精矿、钨制品；研发、生产、销售硬质合金、硬质合金工业刀具、通用机械设备及配件、磨具、磨料；自营和代理一般货物及技术进出口业务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400,000,000.00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797,098,882.77</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397,896,853.58</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231,521,113.43</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1,180,670.80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2,456,917.40</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广东翔鹭精密制造有限公司</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子公司</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硬质合金精密切削刀具产品研究、开发、销售及提供相关技术服务。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105,345,022.98</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137,416,115.55</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48,455,166.68</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17,614,491.14</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-8,116,017.01</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-7,745,907.67</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报告期内取得和处置子公司的情况</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主要控股参股公司情况说明</w:t>
      </w:r>
    </w:p>
    <w:p w:rsidR="0058782B" w:rsidRPr="00F50B51" w:rsidRDefault="00F80EE7">
      <w:pPr>
        <w:pStyle w:val="a7"/>
        <w:rPr>
          <w:sz w:val="18"/>
          <w:szCs w:val="18"/>
        </w:rPr>
      </w:pPr>
      <w:r w:rsidRPr="00F50B51">
        <w:rPr>
          <w:rFonts w:hint="eastAsia"/>
          <w:color w:val="333333"/>
          <w:sz w:val="18"/>
          <w:szCs w:val="18"/>
          <w:shd w:val="clear" w:color="auto" w:fill="FFFFFF"/>
        </w:rPr>
        <w:t>广东翔鹭精密制造有限公司：营业收入较去年同期增长</w:t>
      </w:r>
      <w:r w:rsidRPr="00F50B51">
        <w:rPr>
          <w:rFonts w:hint="eastAsia"/>
          <w:color w:val="333333"/>
          <w:sz w:val="18"/>
          <w:szCs w:val="18"/>
          <w:shd w:val="clear" w:color="auto" w:fill="FFFFFF"/>
        </w:rPr>
        <w:t>8.23%</w:t>
      </w:r>
      <w:r w:rsidRPr="00F50B51">
        <w:rPr>
          <w:rFonts w:hint="eastAsia"/>
          <w:color w:val="333333"/>
          <w:sz w:val="18"/>
          <w:szCs w:val="18"/>
          <w:shd w:val="clear" w:color="auto" w:fill="FFFFFF"/>
        </w:rPr>
        <w:t>，主要系合金工具销售增长；净利润较去年同期增长</w:t>
      </w:r>
      <w:r w:rsidRPr="00F50B51">
        <w:rPr>
          <w:rFonts w:hint="eastAsia"/>
          <w:color w:val="333333"/>
          <w:sz w:val="18"/>
          <w:szCs w:val="18"/>
          <w:shd w:val="clear" w:color="auto" w:fill="FFFFFF"/>
        </w:rPr>
        <w:t>12.48%</w:t>
      </w:r>
      <w:r w:rsidRPr="00F50B51">
        <w:rPr>
          <w:rFonts w:hint="eastAsia"/>
          <w:color w:val="333333"/>
          <w:sz w:val="18"/>
          <w:szCs w:val="18"/>
          <w:shd w:val="clear" w:color="auto" w:fill="FFFFFF"/>
        </w:rPr>
        <w:t>，主要系产销量增长。</w:t>
      </w:r>
    </w:p>
    <w:p w:rsidR="0058782B" w:rsidRPr="00F50B51" w:rsidRDefault="00F80EE7">
      <w:pPr>
        <w:pStyle w:val="a7"/>
        <w:rPr>
          <w:sz w:val="18"/>
          <w:szCs w:val="18"/>
        </w:rPr>
      </w:pPr>
      <w:r w:rsidRPr="00F50B51">
        <w:rPr>
          <w:rFonts w:hint="eastAsia"/>
          <w:color w:val="333333"/>
          <w:sz w:val="18"/>
          <w:szCs w:val="18"/>
          <w:shd w:val="clear" w:color="auto" w:fill="FFFFFF"/>
        </w:rPr>
        <w:t>江西翔鹭钨业有限公司：营业收入较去年同期下降</w:t>
      </w:r>
      <w:r w:rsidRPr="00F50B51">
        <w:rPr>
          <w:rFonts w:hint="eastAsia"/>
          <w:color w:val="333333"/>
          <w:sz w:val="18"/>
          <w:szCs w:val="18"/>
          <w:shd w:val="clear" w:color="auto" w:fill="FFFFFF"/>
        </w:rPr>
        <w:t>7.03%</w:t>
      </w:r>
      <w:r w:rsidRPr="00F50B51">
        <w:rPr>
          <w:rFonts w:hint="eastAsia"/>
          <w:color w:val="333333"/>
          <w:sz w:val="18"/>
          <w:szCs w:val="18"/>
          <w:shd w:val="clear" w:color="auto" w:fill="FFFFFF"/>
        </w:rPr>
        <w:t>，主要系氧化钨和钨粉销售下降；净利润较去年同期下降</w:t>
      </w:r>
      <w:r w:rsidRPr="00F50B51">
        <w:rPr>
          <w:rFonts w:hint="eastAsia"/>
          <w:color w:val="333333"/>
          <w:sz w:val="18"/>
          <w:szCs w:val="18"/>
          <w:shd w:val="clear" w:color="auto" w:fill="FFFFFF"/>
        </w:rPr>
        <w:t>31.82%</w:t>
      </w:r>
      <w:r w:rsidRPr="00F50B51">
        <w:rPr>
          <w:rFonts w:hint="eastAsia"/>
          <w:color w:val="333333"/>
          <w:sz w:val="18"/>
          <w:szCs w:val="18"/>
          <w:shd w:val="clear" w:color="auto" w:fill="FFFFFF"/>
        </w:rPr>
        <w:t>，主要系管理费用和研发费用增加导致。</w:t>
      </w:r>
    </w:p>
    <w:p w:rsidR="0058782B" w:rsidRPr="00F50B51" w:rsidRDefault="00F80EE7">
      <w:pPr>
        <w:pStyle w:val="2"/>
        <w:spacing w:before="300" w:after="300" w:line="320" w:lineRule="exact"/>
        <w:rPr>
          <w:rFonts w:ascii="宋体" w:eastAsia="宋体" w:hAnsi="宋体" w:cs="宋体"/>
          <w:b/>
          <w:bCs/>
          <w:sz w:val="24"/>
          <w:szCs w:val="24"/>
        </w:rPr>
      </w:pPr>
      <w:bookmarkStart w:id="39" w:name="_Toc988927"/>
      <w:r w:rsidRPr="00F50B51">
        <w:rPr>
          <w:rFonts w:ascii="宋体" w:eastAsia="宋体" w:hAnsi="宋体" w:cs="宋体"/>
          <w:b/>
          <w:bCs/>
          <w:sz w:val="24"/>
          <w:szCs w:val="24"/>
        </w:rPr>
        <w:t>九、公司控制的结构化主体情况</w:t>
      </w:r>
      <w:bookmarkEnd w:id="39"/>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2"/>
        <w:spacing w:before="300" w:after="300" w:line="320" w:lineRule="exact"/>
        <w:rPr>
          <w:rFonts w:ascii="宋体" w:eastAsia="宋体" w:hAnsi="宋体" w:cs="宋体"/>
          <w:b/>
          <w:bCs/>
          <w:sz w:val="24"/>
          <w:szCs w:val="24"/>
        </w:rPr>
      </w:pPr>
      <w:bookmarkStart w:id="40" w:name="_Toc988928"/>
      <w:r w:rsidRPr="00F50B51">
        <w:rPr>
          <w:rFonts w:ascii="宋体" w:eastAsia="宋体" w:hAnsi="宋体" w:cs="宋体"/>
          <w:b/>
          <w:bCs/>
          <w:sz w:val="24"/>
          <w:szCs w:val="24"/>
        </w:rPr>
        <w:t>十、公司面临的风险和应对措施</w:t>
      </w:r>
      <w:bookmarkEnd w:id="40"/>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（一）经营计划</w:t>
      </w:r>
      <w:r w:rsidRPr="00F50B51">
        <w:rPr>
          <w:rFonts w:ascii="Times New Roman" w:hAnsi="Times New Roman" w:cs="Times New Roman"/>
          <w:sz w:val="18"/>
          <w:szCs w:val="18"/>
        </w:rPr>
        <w:t>:</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公司未来会持续推进产业转型升级，促进公司高质量发展。以科技创新为驱动力，提高企业盈利能力，改善产品结构，提升国际竞争力。</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1</w:t>
      </w:r>
      <w:r w:rsidRPr="00F50B51">
        <w:rPr>
          <w:rFonts w:cs="Times New Roman" w:hint="eastAsia"/>
          <w:sz w:val="18"/>
          <w:szCs w:val="18"/>
        </w:rPr>
        <w:t>、完善企业创新体系，以精深加工技术为重点，瞄准钨产业发展的科技前沿，强化基础研究，加强与高校研究团队的合作，实现更多科研转化。产品研发方面，公司将坚持自主技术创新，不断提升产品技术工艺水平，继续加大研发投入力度，充分利用本公司的人才和技术优势，不断增强公司的自主研发能力，并通过积极承担国家级任务、课题等研发项目，强化与业内知名院校、科研单位的合作，建立并完善具有竞争力的人员培养和研发制度，从人、财、物和制度等方面巩</w:t>
      </w:r>
      <w:r w:rsidRPr="00F50B51">
        <w:rPr>
          <w:rFonts w:cs="Times New Roman" w:hint="eastAsia"/>
          <w:sz w:val="18"/>
          <w:szCs w:val="18"/>
        </w:rPr>
        <w:lastRenderedPageBreak/>
        <w:t>固公司的持续创新能力。未来公司将保持并进一步扩大公司在国内外碳化钨粉领域的技术领先优势，同时在</w:t>
      </w:r>
      <w:r w:rsidRPr="00F50B51">
        <w:rPr>
          <w:rFonts w:cs="Times New Roman" w:hint="eastAsia"/>
          <w:sz w:val="18"/>
          <w:szCs w:val="18"/>
        </w:rPr>
        <w:t>合金领域将重点开发高技术含量、高附加值、具有自主知识产权和国际竞争力的新产品。</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2</w:t>
      </w:r>
      <w:r w:rsidRPr="00F50B51">
        <w:rPr>
          <w:rFonts w:cs="Times New Roman" w:hint="eastAsia"/>
          <w:sz w:val="18"/>
          <w:szCs w:val="18"/>
        </w:rPr>
        <w:t>、降本增效，将各子公司物资进行信息化、数字化分类管理，用数据分析对原材料、辅材的采购策略进行指导，优化库存结构，减少呆滞加快物料流转。运用</w:t>
      </w:r>
      <w:r w:rsidRPr="00F50B51">
        <w:rPr>
          <w:rFonts w:ascii="Times New Roman" w:hAnsi="Times New Roman" w:cs="Times New Roman"/>
          <w:sz w:val="18"/>
          <w:szCs w:val="18"/>
        </w:rPr>
        <w:t>ERP</w:t>
      </w:r>
      <w:r w:rsidRPr="00F50B51">
        <w:rPr>
          <w:rFonts w:cs="Times New Roman" w:hint="eastAsia"/>
          <w:sz w:val="18"/>
          <w:szCs w:val="18"/>
        </w:rPr>
        <w:t>的数据分析，做好各生产中心的运营效率管理、作业周期管理，依据科学的数据对各业务职能部门制定合理的绩效考核标准，来逐步降低成本。</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3</w:t>
      </w:r>
      <w:r w:rsidRPr="00F50B51">
        <w:rPr>
          <w:rFonts w:cs="Times New Roman" w:hint="eastAsia"/>
          <w:sz w:val="18"/>
          <w:szCs w:val="18"/>
        </w:rPr>
        <w:t>、营销网络建设，利用现有的品牌及高端市场较高的市场占有率优势，进一步深化品牌战略，完善营销网络，巩固和提高产品的市场份额。精密切削工具制造类产品，公司在营销</w:t>
      </w:r>
      <w:r w:rsidRPr="00F50B51">
        <w:rPr>
          <w:rFonts w:cs="Times New Roman" w:hint="eastAsia"/>
          <w:sz w:val="18"/>
          <w:szCs w:val="18"/>
        </w:rPr>
        <w:t>策略上，会由原来的大部分直销变为部分经销，广东翔鹭精密制造有限公司会加大经销力度，积极开发拓展市场，发展更多客户资源，加强企业竞争优势。</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4</w:t>
      </w:r>
      <w:r w:rsidRPr="00F50B51">
        <w:rPr>
          <w:rFonts w:cs="Times New Roman" w:hint="eastAsia"/>
          <w:sz w:val="18"/>
          <w:szCs w:val="18"/>
        </w:rPr>
        <w:t>、推进公司各生产部门智能制造，鼓励创新，加大关键设备研发投入，促使技术进步和生产效率提升。打造智能化生产，提升发展质量计划以设备智能化、生产过程自动化和管理信息化的深度融合为重点，加快碳化钨、硬质合金及精密工具生产线装备的更新改造，促进企业向高端制造升级。力争工艺技术装备、产品质量和主要技术经济指标达到国际先进水平，进一步强化公司各产品的市场占有率。</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5</w:t>
      </w:r>
      <w:r w:rsidRPr="00F50B51">
        <w:rPr>
          <w:rFonts w:cs="Times New Roman" w:hint="eastAsia"/>
          <w:sz w:val="18"/>
          <w:szCs w:val="18"/>
        </w:rPr>
        <w:t>、强化安全生产意</w:t>
      </w:r>
      <w:r w:rsidRPr="00F50B51">
        <w:rPr>
          <w:rFonts w:cs="Times New Roman" w:hint="eastAsia"/>
          <w:sz w:val="18"/>
          <w:szCs w:val="18"/>
        </w:rPr>
        <w:t>识，推进节能减排、防止污染。公司会不定期组织各级管理人员对法律法规的培训，同时不定期对各生产现场进行安环检查、整改，落实责任主体，提升安环意识。</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6</w:t>
      </w:r>
      <w:r w:rsidRPr="00F50B51">
        <w:rPr>
          <w:rFonts w:cs="Times New Roman" w:hint="eastAsia"/>
          <w:sz w:val="18"/>
          <w:szCs w:val="18"/>
        </w:rPr>
        <w:t>、逐步加大再生资源利用。</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7</w:t>
      </w:r>
      <w:r w:rsidRPr="00F50B51">
        <w:rPr>
          <w:rFonts w:cs="Times New Roman" w:hint="eastAsia"/>
          <w:sz w:val="18"/>
          <w:szCs w:val="18"/>
        </w:rPr>
        <w:t>、加强对上游资源端的补短，加大对自有矿山的探、采工作；在资金和条件合适的情况下依托资本市场兼并收购钨矿山资源，减少公司对外原材料的采购。</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8</w:t>
      </w:r>
      <w:r w:rsidRPr="00F50B51">
        <w:rPr>
          <w:rFonts w:cs="Times New Roman" w:hint="eastAsia"/>
          <w:sz w:val="18"/>
          <w:szCs w:val="18"/>
        </w:rPr>
        <w:t>、未来资金需求与使用计划，公司将继续保持与金融机构的良好合作，保证融资渠道畅通，积极利用各种融资工具，优化融资结构，拓宽新融资渠道，控制融资成本；强化财务管理，防控资金风险。</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（二）可能遇到的风险</w:t>
      </w:r>
      <w:r w:rsidRPr="00F50B51">
        <w:rPr>
          <w:rFonts w:cs="Times New Roman" w:hint="eastAsia"/>
          <w:sz w:val="18"/>
          <w:szCs w:val="18"/>
        </w:rPr>
        <w:t>及应对措施</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1</w:t>
      </w:r>
      <w:r w:rsidRPr="00F50B51">
        <w:rPr>
          <w:rFonts w:cs="Times New Roman" w:hint="eastAsia"/>
          <w:sz w:val="18"/>
          <w:szCs w:val="18"/>
        </w:rPr>
        <w:t>、宏观经济波动对公司经营业绩的影响</w:t>
      </w:r>
      <w:r w:rsidRPr="00F50B51">
        <w:rPr>
          <w:rFonts w:ascii="Times New Roman" w:hAnsi="Times New Roman" w:cs="Times New Roman"/>
          <w:sz w:val="18"/>
          <w:szCs w:val="18"/>
        </w:rPr>
        <w:t>   </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钨产品广泛应用于装备制造、机械加工、冶金矿山、军工和电子通讯行业等各个行业，但如果公司主要客户所在国家经济出现周期性大幅波动，将对钨产品市场需求以及公司应收账款的回收产生较大影响，进而使得公司经营业绩受到影响。</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应对措施：公司将密切关注宏观经济与市场环境变化，积极拓宽销售渠道，不定期关注公司客户的经营和信用情况，加大销售回款力度。同时积极开发技术领先、质量稳定的优势产品，加快高附加值硬质合金、刀具产品的研发、生产与销售，降低宏观经济下行或市场需求减少对</w:t>
      </w:r>
      <w:r w:rsidRPr="00F50B51">
        <w:rPr>
          <w:rFonts w:cs="Times New Roman" w:hint="eastAsia"/>
          <w:sz w:val="18"/>
          <w:szCs w:val="18"/>
        </w:rPr>
        <w:t>公司业绩的影响。</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2</w:t>
      </w:r>
      <w:r w:rsidRPr="00F50B51">
        <w:rPr>
          <w:rFonts w:cs="Times New Roman" w:hint="eastAsia"/>
          <w:sz w:val="18"/>
          <w:szCs w:val="18"/>
        </w:rPr>
        <w:t>、原材料供应及价格风险</w:t>
      </w:r>
      <w:r w:rsidRPr="00F50B51">
        <w:rPr>
          <w:rFonts w:ascii="Times New Roman" w:hAnsi="Times New Roman" w:cs="Times New Roman"/>
          <w:sz w:val="18"/>
          <w:szCs w:val="18"/>
        </w:rPr>
        <w:t>  </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公司主营业务为钨制品的开发、生产与销售，主要原料为钨精矿。公司生产所需的钨精矿通过外购获得，公司产品的销售价格根据钨精矿价格变动情况相应调整，从而降低了原材料价格波动对公司经营业绩的影响，但如果未来钨精矿价格发生剧烈变化而钨制品价格未能同步变动，将会对公司主要产品的毛利率水平及经营业绩产生影响。此外，公司向多家供应商外购钨精矿，不存在依赖某一或少数供应商的情形，但由于该等原料采购合同多为按批采购，合同采购期限一般不超过</w:t>
      </w:r>
      <w:r w:rsidRPr="00F50B51">
        <w:rPr>
          <w:rFonts w:ascii="Times New Roman" w:hAnsi="Times New Roman" w:cs="Times New Roman"/>
          <w:sz w:val="18"/>
          <w:szCs w:val="18"/>
        </w:rPr>
        <w:t>1</w:t>
      </w:r>
      <w:r w:rsidRPr="00F50B51">
        <w:rPr>
          <w:rFonts w:cs="Times New Roman" w:hint="eastAsia"/>
          <w:sz w:val="18"/>
          <w:szCs w:val="18"/>
        </w:rPr>
        <w:t>年，如果未来市场对钨精矿的需求发生爆发式</w:t>
      </w:r>
      <w:r w:rsidRPr="00F50B51">
        <w:rPr>
          <w:rFonts w:cs="Times New Roman" w:hint="eastAsia"/>
          <w:sz w:val="18"/>
          <w:szCs w:val="18"/>
        </w:rPr>
        <w:t>增长，或国家突然压缩钨精矿开采配额，公司存在不能在合理价格范围内确保外购原材料稳定供应的风险。</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应对措施：公司定期对钨精矿、</w:t>
      </w:r>
      <w:r w:rsidRPr="00F50B51">
        <w:rPr>
          <w:rFonts w:ascii="Times New Roman" w:hAnsi="Times New Roman" w:cs="Times New Roman"/>
          <w:sz w:val="18"/>
          <w:szCs w:val="18"/>
        </w:rPr>
        <w:t>APT</w:t>
      </w:r>
      <w:r w:rsidRPr="00F50B51">
        <w:rPr>
          <w:rFonts w:cs="Times New Roman" w:hint="eastAsia"/>
          <w:sz w:val="18"/>
          <w:szCs w:val="18"/>
        </w:rPr>
        <w:t>等原材料价格市场价格、供给进行分析，结合销售对后端需求的趋势判断，紧密关注原材料价格波动，充分利用行业经验，积极调整原材料库存，保证正常生产需要，降低价格波动对公司经营业绩的影响。</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3</w:t>
      </w:r>
      <w:r w:rsidRPr="00F50B51">
        <w:rPr>
          <w:rFonts w:cs="Times New Roman" w:hint="eastAsia"/>
          <w:sz w:val="18"/>
          <w:szCs w:val="18"/>
        </w:rPr>
        <w:t>、出口贸易资格风险</w:t>
      </w:r>
      <w:r w:rsidRPr="00F50B51">
        <w:rPr>
          <w:rFonts w:ascii="Times New Roman" w:hAnsi="Times New Roman" w:cs="Times New Roman"/>
          <w:sz w:val="18"/>
          <w:szCs w:val="18"/>
        </w:rPr>
        <w:t>  </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我国属钨资源大国和钨消费大国，目前我国钨制品的产量、出口量和消费量均位居世界第一位。但由于钨是一种不可再生资源，国家对钨行业的各个环节（开采、冶炼、经营、出口等）均采取了较为严格的管理。商务部对钨品直接出口企业资格制定非常严格的标准。公司是</w:t>
      </w:r>
      <w:r w:rsidRPr="00F50B51">
        <w:rPr>
          <w:rFonts w:ascii="Times New Roman" w:hAnsi="Times New Roman" w:cs="Times New Roman"/>
          <w:sz w:val="18"/>
          <w:szCs w:val="18"/>
        </w:rPr>
        <w:t>16</w:t>
      </w:r>
      <w:r w:rsidRPr="00F50B51">
        <w:rPr>
          <w:rFonts w:cs="Times New Roman" w:hint="eastAsia"/>
          <w:sz w:val="18"/>
          <w:szCs w:val="18"/>
        </w:rPr>
        <w:t>家获得钨品直接出口资格的企业之一。目前公司部分产品销往国外，如果国家对出口企业资格标准进行大幅调整，则可能使公司出口业务受到影响，从而影响公司的经营业绩。</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应对措施：积极关注政策面变化，做好公司日常经营工作中的各项合规性管控；经营层面加大国内优质客户的维护工作，拓宽销</w:t>
      </w:r>
      <w:r w:rsidRPr="00F50B51">
        <w:rPr>
          <w:rFonts w:cs="Times New Roman" w:hint="eastAsia"/>
          <w:sz w:val="18"/>
          <w:szCs w:val="18"/>
        </w:rPr>
        <w:t>售渠道。</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4</w:t>
      </w:r>
      <w:r w:rsidRPr="00F50B51">
        <w:rPr>
          <w:rFonts w:cs="Times New Roman" w:hint="eastAsia"/>
          <w:sz w:val="18"/>
          <w:szCs w:val="18"/>
        </w:rPr>
        <w:t>、汇率波动风险</w:t>
      </w:r>
      <w:r w:rsidRPr="00F50B51">
        <w:rPr>
          <w:rFonts w:ascii="Times New Roman" w:hAnsi="Times New Roman" w:cs="Times New Roman"/>
          <w:sz w:val="18"/>
          <w:szCs w:val="18"/>
        </w:rPr>
        <w:t>    </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lastRenderedPageBreak/>
        <w:t>由于公司出口量占一定比例，汇率变动将对公司的经营业绩产生一定的影响。</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应对措施：密切关注央行的货币政策，积极关注国际市场汇率变化及走势；加强与金融机构的合作，通过锁定汇率等方式，减少汇率波动的影响。</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5</w:t>
      </w:r>
      <w:r w:rsidRPr="00F50B51">
        <w:rPr>
          <w:rFonts w:cs="Times New Roman" w:hint="eastAsia"/>
          <w:sz w:val="18"/>
          <w:szCs w:val="18"/>
        </w:rPr>
        <w:t>、新冠肺炎疫情风险</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目前全球疫情反复，全球经济形势的不确定性与波动性加大部分国家和地区的疫情尚未得到有效控制，将有可能对公司业绩造成一定的影响。</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应对措施：密切关注国内外疫情动向，落实和遵循当地政府防疫政策，做好日常防疫工作，组织应急演练。</w:t>
      </w:r>
    </w:p>
    <w:p w:rsidR="0058782B" w:rsidRPr="00F50B51" w:rsidRDefault="00F80EE7">
      <w:r w:rsidRPr="00F50B51">
        <w:br w:type="page"/>
      </w:r>
    </w:p>
    <w:p w:rsidR="0058782B" w:rsidRPr="00F50B51" w:rsidRDefault="00F80EE7">
      <w:pPr>
        <w:pStyle w:val="headingh1"/>
        <w:spacing w:before="340" w:after="330" w:line="773" w:lineRule="exact"/>
        <w:jc w:val="center"/>
        <w:rPr>
          <w:rFonts w:ascii="宋体" w:eastAsia="宋体" w:hAnsi="宋体" w:cs="宋体"/>
          <w:b/>
          <w:bCs/>
          <w:sz w:val="32"/>
          <w:szCs w:val="32"/>
        </w:rPr>
      </w:pPr>
      <w:bookmarkStart w:id="41" w:name="_Toc988929"/>
      <w:r w:rsidRPr="00F50B51">
        <w:rPr>
          <w:rFonts w:ascii="宋体" w:eastAsia="宋体" w:hAnsi="宋体" w:cs="宋体"/>
          <w:b/>
          <w:bCs/>
          <w:sz w:val="32"/>
          <w:szCs w:val="32"/>
        </w:rPr>
        <w:lastRenderedPageBreak/>
        <w:t>第四节</w:t>
      </w:r>
      <w:r w:rsidRPr="00F50B51">
        <w:rPr>
          <w:rFonts w:ascii="宋体" w:eastAsia="宋体" w:hAnsi="宋体" w:cs="宋体"/>
          <w:b/>
          <w:bCs/>
          <w:sz w:val="32"/>
          <w:szCs w:val="32"/>
        </w:rPr>
        <w:t xml:space="preserve"> </w:t>
      </w:r>
      <w:r w:rsidRPr="00F50B51">
        <w:rPr>
          <w:rFonts w:ascii="宋体" w:eastAsia="宋体" w:hAnsi="宋体" w:cs="宋体"/>
          <w:b/>
          <w:bCs/>
          <w:sz w:val="32"/>
          <w:szCs w:val="32"/>
        </w:rPr>
        <w:t>公司治理</w:t>
      </w:r>
      <w:bookmarkEnd w:id="41"/>
    </w:p>
    <w:p w:rsidR="0058782B" w:rsidRPr="00F50B51" w:rsidRDefault="00F80EE7">
      <w:pPr>
        <w:pStyle w:val="2"/>
        <w:spacing w:before="300" w:after="300" w:line="320" w:lineRule="exact"/>
        <w:rPr>
          <w:rFonts w:ascii="宋体" w:eastAsia="宋体" w:hAnsi="宋体" w:cs="宋体"/>
          <w:b/>
          <w:bCs/>
          <w:sz w:val="24"/>
          <w:szCs w:val="24"/>
        </w:rPr>
      </w:pPr>
      <w:bookmarkStart w:id="42" w:name="_Toc988930"/>
      <w:r w:rsidRPr="00F50B51">
        <w:rPr>
          <w:rFonts w:ascii="宋体" w:eastAsia="宋体" w:hAnsi="宋体" w:cs="宋体"/>
          <w:b/>
          <w:bCs/>
          <w:sz w:val="24"/>
          <w:szCs w:val="24"/>
        </w:rPr>
        <w:t>一、报告期内召开的年度股东大会和临时股东大会的有关情况</w:t>
      </w:r>
      <w:bookmarkEnd w:id="42"/>
    </w:p>
    <w:p w:rsidR="0058782B" w:rsidRPr="00F50B51" w:rsidRDefault="00F80EE7">
      <w:pPr>
        <w:pStyle w:val="3"/>
        <w:spacing w:line="280" w:lineRule="exact"/>
        <w:jc w:val="left"/>
        <w:rPr>
          <w:rFonts w:ascii="宋体" w:hAnsi="宋体" w:cs="宋体"/>
          <w:b/>
          <w:bCs/>
        </w:rPr>
      </w:pPr>
      <w:bookmarkStart w:id="43" w:name="_Toc988931"/>
      <w:r w:rsidRPr="00F50B51">
        <w:rPr>
          <w:rFonts w:ascii="宋体" w:hAnsi="宋体" w:cs="宋体"/>
          <w:b/>
          <w:bCs/>
        </w:rPr>
        <w:t>1</w:t>
      </w:r>
      <w:r w:rsidRPr="00F50B51">
        <w:rPr>
          <w:rFonts w:ascii="宋体" w:hAnsi="宋体" w:cs="宋体"/>
          <w:b/>
          <w:bCs/>
        </w:rPr>
        <w:t>、本报告期股东大会情况</w:t>
      </w:r>
      <w:bookmarkEnd w:id="43"/>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会议届次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会议类型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投资者参与比例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召开日期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披露日期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会议决议</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年第一次临时股东大会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45.81%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12</w:t>
            </w:r>
            <w:r w:rsidRPr="00F50B51">
              <w:rPr>
                <w:rFonts w:ascii="宋体" w:eastAsia="宋体" w:hAnsi="宋体" w:cs="宋体"/>
                <w:sz w:val="18"/>
                <w:szCs w:val="18"/>
              </w:rPr>
              <w:t>日</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13</w:t>
            </w:r>
            <w:r w:rsidRPr="00F50B51">
              <w:rPr>
                <w:rFonts w:ascii="宋体" w:eastAsia="宋体" w:hAnsi="宋体" w:cs="宋体"/>
                <w:sz w:val="18"/>
                <w:szCs w:val="18"/>
              </w:rPr>
              <w:t>日</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详见巨潮资讯网（</w:t>
            </w:r>
            <w:r w:rsidRPr="00F50B51">
              <w:rPr>
                <w:rFonts w:ascii="宋体" w:eastAsia="宋体" w:hAnsi="宋体" w:cs="宋体"/>
                <w:sz w:val="18"/>
                <w:szCs w:val="18"/>
              </w:rPr>
              <w:t>www.cninfo.com.cn</w:t>
            </w:r>
            <w:r w:rsidRPr="00F50B51">
              <w:rPr>
                <w:rFonts w:ascii="宋体" w:eastAsia="宋体" w:hAnsi="宋体" w:cs="宋体"/>
                <w:sz w:val="18"/>
                <w:szCs w:val="18"/>
              </w:rPr>
              <w:t>）的《</w:t>
            </w:r>
            <w:r w:rsidRPr="00F50B51">
              <w:rPr>
                <w:rFonts w:ascii="宋体" w:eastAsia="宋体" w:hAnsi="宋体" w:cs="宋体"/>
                <w:sz w:val="18"/>
                <w:szCs w:val="18"/>
              </w:rPr>
              <w:t>2022</w:t>
            </w:r>
            <w:r w:rsidRPr="00F50B51">
              <w:rPr>
                <w:rFonts w:ascii="宋体" w:eastAsia="宋体" w:hAnsi="宋体" w:cs="宋体"/>
                <w:sz w:val="18"/>
                <w:szCs w:val="18"/>
              </w:rPr>
              <w:t>年第一次临时股东大会决议公告》</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年年度股东大会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年度股东大会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46.94%</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20</w:t>
            </w:r>
            <w:r w:rsidRPr="00F50B51">
              <w:rPr>
                <w:rFonts w:ascii="宋体" w:eastAsia="宋体" w:hAnsi="宋体" w:cs="宋体"/>
                <w:sz w:val="18"/>
                <w:szCs w:val="18"/>
              </w:rPr>
              <w:t>日</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21</w:t>
            </w:r>
            <w:r w:rsidRPr="00F50B51">
              <w:rPr>
                <w:rFonts w:ascii="宋体" w:eastAsia="宋体" w:hAnsi="宋体" w:cs="宋体"/>
                <w:sz w:val="18"/>
                <w:szCs w:val="18"/>
              </w:rPr>
              <w:t>日</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详见巨潮资讯网（</w:t>
            </w:r>
            <w:r w:rsidRPr="00F50B51">
              <w:rPr>
                <w:rFonts w:ascii="宋体" w:eastAsia="宋体" w:hAnsi="宋体" w:cs="宋体"/>
                <w:sz w:val="18"/>
                <w:szCs w:val="18"/>
              </w:rPr>
              <w:t>www.cninfo.com.cn</w:t>
            </w:r>
            <w:r w:rsidRPr="00F50B51">
              <w:rPr>
                <w:rFonts w:ascii="宋体" w:eastAsia="宋体" w:hAnsi="宋体" w:cs="宋体"/>
                <w:sz w:val="18"/>
                <w:szCs w:val="18"/>
              </w:rPr>
              <w:t>）的《</w:t>
            </w:r>
            <w:r w:rsidRPr="00F50B51">
              <w:rPr>
                <w:rFonts w:ascii="宋体" w:eastAsia="宋体" w:hAnsi="宋体" w:cs="宋体"/>
                <w:sz w:val="18"/>
                <w:szCs w:val="18"/>
              </w:rPr>
              <w:t>2021</w:t>
            </w:r>
            <w:r w:rsidRPr="00F50B51">
              <w:rPr>
                <w:rFonts w:ascii="宋体" w:eastAsia="宋体" w:hAnsi="宋体" w:cs="宋体"/>
                <w:sz w:val="18"/>
                <w:szCs w:val="18"/>
              </w:rPr>
              <w:t>年年度股东大会决议公告》</w:t>
            </w:r>
          </w:p>
        </w:tc>
      </w:tr>
    </w:tbl>
    <w:p w:rsidR="0058782B" w:rsidRPr="00F50B51" w:rsidRDefault="00F80EE7">
      <w:pPr>
        <w:pStyle w:val="3"/>
        <w:spacing w:line="280" w:lineRule="exact"/>
        <w:jc w:val="left"/>
        <w:rPr>
          <w:rFonts w:ascii="宋体" w:hAnsi="宋体" w:cs="宋体"/>
          <w:b/>
          <w:bCs/>
        </w:rPr>
      </w:pPr>
      <w:bookmarkStart w:id="44" w:name="_Toc988932"/>
      <w:r w:rsidRPr="00F50B51">
        <w:rPr>
          <w:rFonts w:ascii="宋体" w:hAnsi="宋体" w:cs="宋体"/>
          <w:b/>
          <w:bCs/>
        </w:rPr>
        <w:t>2</w:t>
      </w:r>
      <w:r w:rsidRPr="00F50B51">
        <w:rPr>
          <w:rFonts w:ascii="宋体" w:hAnsi="宋体" w:cs="宋体"/>
          <w:b/>
          <w:bCs/>
        </w:rPr>
        <w:t>、表决权恢复的优先股股东请求召开临时股东大会</w:t>
      </w:r>
      <w:bookmarkEnd w:id="44"/>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2"/>
        <w:spacing w:before="300" w:after="300" w:line="320" w:lineRule="exact"/>
        <w:rPr>
          <w:rFonts w:ascii="宋体" w:eastAsia="宋体" w:hAnsi="宋体" w:cs="宋体"/>
          <w:b/>
          <w:bCs/>
          <w:sz w:val="24"/>
          <w:szCs w:val="24"/>
        </w:rPr>
      </w:pPr>
      <w:bookmarkStart w:id="45" w:name="_Toc988933"/>
      <w:r w:rsidRPr="00F50B51">
        <w:rPr>
          <w:rFonts w:ascii="宋体" w:eastAsia="宋体" w:hAnsi="宋体" w:cs="宋体"/>
          <w:b/>
          <w:bCs/>
          <w:sz w:val="24"/>
          <w:szCs w:val="24"/>
        </w:rPr>
        <w:t>二、公司董事、监事、高级管理人员变动情况</w:t>
      </w:r>
      <w:bookmarkEnd w:id="45"/>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公司董事、监事和高级管理人员在报告期没有发生变动，具体可参见</w:t>
      </w:r>
      <w:r w:rsidRPr="00F50B51">
        <w:rPr>
          <w:rFonts w:ascii="宋体" w:eastAsia="宋体" w:hAnsi="宋体" w:cs="宋体"/>
          <w:sz w:val="18"/>
          <w:szCs w:val="18"/>
        </w:rPr>
        <w:t>2021</w:t>
      </w:r>
      <w:r w:rsidRPr="00F50B51">
        <w:rPr>
          <w:rFonts w:ascii="宋体" w:eastAsia="宋体" w:hAnsi="宋体" w:cs="宋体"/>
          <w:sz w:val="18"/>
          <w:szCs w:val="18"/>
        </w:rPr>
        <w:t>年年报。</w:t>
      </w:r>
    </w:p>
    <w:p w:rsidR="0058782B" w:rsidRPr="00F50B51" w:rsidRDefault="00F80EE7">
      <w:pPr>
        <w:pStyle w:val="2"/>
        <w:spacing w:before="300" w:after="300" w:line="320" w:lineRule="exact"/>
        <w:rPr>
          <w:rFonts w:ascii="宋体" w:eastAsia="宋体" w:hAnsi="宋体" w:cs="宋体"/>
          <w:b/>
          <w:bCs/>
          <w:sz w:val="24"/>
          <w:szCs w:val="24"/>
        </w:rPr>
      </w:pPr>
      <w:bookmarkStart w:id="46" w:name="_Toc988934"/>
      <w:r w:rsidRPr="00F50B51">
        <w:rPr>
          <w:rFonts w:ascii="宋体" w:eastAsia="宋体" w:hAnsi="宋体" w:cs="宋体"/>
          <w:b/>
          <w:bCs/>
          <w:sz w:val="24"/>
          <w:szCs w:val="24"/>
        </w:rPr>
        <w:t>三、本报告期利润分配及资本公积金转增股本情况</w:t>
      </w:r>
      <w:bookmarkEnd w:id="46"/>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公司计划半年度不派发现金红利，不送红股，不以公积金转增股本。</w:t>
      </w:r>
    </w:p>
    <w:p w:rsidR="0058782B" w:rsidRPr="00F50B51" w:rsidRDefault="00F80EE7">
      <w:pPr>
        <w:pStyle w:val="2"/>
        <w:spacing w:before="300" w:after="300" w:line="320" w:lineRule="exact"/>
        <w:rPr>
          <w:rFonts w:ascii="宋体" w:eastAsia="宋体" w:hAnsi="宋体" w:cs="宋体"/>
          <w:b/>
          <w:bCs/>
          <w:sz w:val="24"/>
          <w:szCs w:val="24"/>
        </w:rPr>
      </w:pPr>
      <w:bookmarkStart w:id="47" w:name="_Toc988935"/>
      <w:r w:rsidRPr="00F50B51">
        <w:rPr>
          <w:rFonts w:ascii="宋体" w:eastAsia="宋体" w:hAnsi="宋体" w:cs="宋体"/>
          <w:b/>
          <w:bCs/>
          <w:sz w:val="24"/>
          <w:szCs w:val="24"/>
        </w:rPr>
        <w:t>四、公司股权激励计划、员工持股计划或其他员工激励措施的实施情况</w:t>
      </w:r>
      <w:bookmarkEnd w:id="47"/>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pStyle w:val="3"/>
        <w:spacing w:line="280" w:lineRule="exact"/>
        <w:jc w:val="left"/>
        <w:rPr>
          <w:rFonts w:ascii="宋体" w:hAnsi="宋体" w:cs="宋体"/>
          <w:b/>
          <w:bCs/>
        </w:rPr>
      </w:pPr>
      <w:bookmarkStart w:id="48" w:name="_Toc988936"/>
      <w:r w:rsidRPr="00F50B51">
        <w:rPr>
          <w:rFonts w:ascii="宋体" w:hAnsi="宋体" w:cs="宋体"/>
          <w:b/>
          <w:bCs/>
        </w:rPr>
        <w:t>1</w:t>
      </w:r>
      <w:r w:rsidRPr="00F50B51">
        <w:rPr>
          <w:rFonts w:ascii="宋体" w:hAnsi="宋体" w:cs="宋体"/>
          <w:b/>
          <w:bCs/>
        </w:rPr>
        <w:t>、股权激励</w:t>
      </w:r>
      <w:bookmarkEnd w:id="48"/>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1</w:t>
      </w:r>
      <w:r w:rsidRPr="00F50B51">
        <w:rPr>
          <w:rFonts w:cs="Times New Roman" w:hint="eastAsia"/>
          <w:sz w:val="18"/>
          <w:szCs w:val="18"/>
        </w:rPr>
        <w:t>、</w:t>
      </w:r>
      <w:r w:rsidRPr="00F50B51">
        <w:rPr>
          <w:rFonts w:ascii="Times New Roman" w:hAnsi="Times New Roman" w:cs="Times New Roman"/>
          <w:sz w:val="18"/>
          <w:szCs w:val="18"/>
        </w:rPr>
        <w:t>2021</w:t>
      </w:r>
      <w:r w:rsidRPr="00F50B51">
        <w:rPr>
          <w:rFonts w:cs="Times New Roman" w:hint="eastAsia"/>
          <w:sz w:val="18"/>
          <w:szCs w:val="18"/>
        </w:rPr>
        <w:t>年</w:t>
      </w:r>
      <w:r w:rsidRPr="00F50B51">
        <w:rPr>
          <w:rFonts w:ascii="Times New Roman" w:hAnsi="Times New Roman" w:cs="Times New Roman"/>
          <w:sz w:val="18"/>
          <w:szCs w:val="18"/>
        </w:rPr>
        <w:t>10</w:t>
      </w:r>
      <w:r w:rsidRPr="00F50B51">
        <w:rPr>
          <w:rFonts w:cs="Times New Roman" w:hint="eastAsia"/>
          <w:sz w:val="18"/>
          <w:szCs w:val="18"/>
        </w:rPr>
        <w:t>月</w:t>
      </w:r>
      <w:r w:rsidRPr="00F50B51">
        <w:rPr>
          <w:rFonts w:ascii="Times New Roman" w:hAnsi="Times New Roman" w:cs="Times New Roman"/>
          <w:sz w:val="18"/>
          <w:szCs w:val="18"/>
        </w:rPr>
        <w:t>12</w:t>
      </w:r>
      <w:r w:rsidRPr="00F50B51">
        <w:rPr>
          <w:rFonts w:cs="Times New Roman" w:hint="eastAsia"/>
          <w:sz w:val="18"/>
          <w:szCs w:val="18"/>
        </w:rPr>
        <w:t>日，公司召开第四届董事会</w:t>
      </w:r>
      <w:r w:rsidRPr="00F50B51">
        <w:rPr>
          <w:rFonts w:ascii="Times New Roman" w:hAnsi="Times New Roman" w:cs="Times New Roman"/>
          <w:sz w:val="18"/>
          <w:szCs w:val="18"/>
        </w:rPr>
        <w:t>2021</w:t>
      </w:r>
      <w:r w:rsidRPr="00F50B51">
        <w:rPr>
          <w:rFonts w:cs="Times New Roman" w:hint="eastAsia"/>
          <w:sz w:val="18"/>
          <w:szCs w:val="18"/>
        </w:rPr>
        <w:t>年第四次临时会议和第四届监事会第五次会议，审议通过《关于</w:t>
      </w:r>
      <w:r w:rsidRPr="00F50B51">
        <w:rPr>
          <w:rFonts w:ascii="Times New Roman" w:hAnsi="Times New Roman" w:cs="Times New Roman"/>
          <w:sz w:val="18"/>
          <w:szCs w:val="18"/>
        </w:rPr>
        <w:t>〈</w:t>
      </w:r>
      <w:r w:rsidRPr="00F50B51">
        <w:rPr>
          <w:rFonts w:cs="Times New Roman" w:hint="eastAsia"/>
          <w:sz w:val="18"/>
          <w:szCs w:val="18"/>
        </w:rPr>
        <w:t>广东翔鹭钨业股份有限公司</w:t>
      </w:r>
      <w:r w:rsidRPr="00F50B51">
        <w:rPr>
          <w:rFonts w:ascii="Times New Roman" w:hAnsi="Times New Roman" w:cs="Times New Roman"/>
          <w:sz w:val="18"/>
          <w:szCs w:val="18"/>
        </w:rPr>
        <w:t>2021</w:t>
      </w:r>
      <w:r w:rsidRPr="00F50B51">
        <w:rPr>
          <w:rFonts w:cs="Times New Roman" w:hint="eastAsia"/>
          <w:sz w:val="18"/>
          <w:szCs w:val="18"/>
        </w:rPr>
        <w:t>年限制性股票激励计划（草案）</w:t>
      </w:r>
      <w:r w:rsidRPr="00F50B51">
        <w:rPr>
          <w:rFonts w:ascii="Times New Roman" w:hAnsi="Times New Roman" w:cs="Times New Roman"/>
          <w:sz w:val="18"/>
          <w:szCs w:val="18"/>
        </w:rPr>
        <w:t>〉</w:t>
      </w:r>
      <w:r w:rsidRPr="00F50B51">
        <w:rPr>
          <w:rFonts w:cs="Times New Roman" w:hint="eastAsia"/>
          <w:sz w:val="18"/>
          <w:szCs w:val="18"/>
        </w:rPr>
        <w:t>及其摘要的议案》及其相关事项的议案，关联董事周伟平先生作为激励对象回避表决。公司独立董事对此发表了同意的独立意见，律师等中介机构出具相应文件。</w:t>
      </w:r>
      <w:r w:rsidRPr="00F50B51">
        <w:rPr>
          <w:rFonts w:ascii="Times New Roman" w:hAnsi="Times New Roman" w:cs="Times New Roman"/>
          <w:sz w:val="18"/>
          <w:szCs w:val="18"/>
        </w:rPr>
        <w:t>18</w:t>
      </w:r>
      <w:r w:rsidRPr="00F50B51">
        <w:rPr>
          <w:rFonts w:cs="Times New Roman" w:hint="eastAsia"/>
          <w:sz w:val="18"/>
          <w:szCs w:val="18"/>
        </w:rPr>
        <w:t>、公司对授予的激励对象名单的姓名和职务在公司内部进行了公示，公示期为</w:t>
      </w:r>
      <w:r w:rsidRPr="00F50B51">
        <w:rPr>
          <w:rFonts w:ascii="Times New Roman" w:hAnsi="Times New Roman" w:cs="Times New Roman"/>
          <w:sz w:val="18"/>
          <w:szCs w:val="18"/>
        </w:rPr>
        <w:t>2021</w:t>
      </w:r>
      <w:r w:rsidRPr="00F50B51">
        <w:rPr>
          <w:rFonts w:cs="Times New Roman" w:hint="eastAsia"/>
          <w:sz w:val="18"/>
          <w:szCs w:val="18"/>
        </w:rPr>
        <w:t>年</w:t>
      </w:r>
      <w:r w:rsidRPr="00F50B51">
        <w:rPr>
          <w:rFonts w:ascii="Times New Roman" w:hAnsi="Times New Roman" w:cs="Times New Roman"/>
          <w:sz w:val="18"/>
          <w:szCs w:val="18"/>
        </w:rPr>
        <w:t>10</w:t>
      </w:r>
      <w:r w:rsidRPr="00F50B51">
        <w:rPr>
          <w:rFonts w:cs="Times New Roman" w:hint="eastAsia"/>
          <w:sz w:val="18"/>
          <w:szCs w:val="18"/>
        </w:rPr>
        <w:t>月</w:t>
      </w:r>
      <w:r w:rsidRPr="00F50B51">
        <w:rPr>
          <w:rFonts w:ascii="Times New Roman" w:hAnsi="Times New Roman" w:cs="Times New Roman"/>
          <w:sz w:val="18"/>
          <w:szCs w:val="18"/>
        </w:rPr>
        <w:t>13</w:t>
      </w:r>
      <w:r w:rsidRPr="00F50B51">
        <w:rPr>
          <w:rFonts w:cs="Times New Roman" w:hint="eastAsia"/>
          <w:sz w:val="18"/>
          <w:szCs w:val="18"/>
        </w:rPr>
        <w:t>日至</w:t>
      </w:r>
      <w:r w:rsidRPr="00F50B51">
        <w:rPr>
          <w:rFonts w:ascii="Times New Roman" w:hAnsi="Times New Roman" w:cs="Times New Roman"/>
          <w:sz w:val="18"/>
          <w:szCs w:val="18"/>
        </w:rPr>
        <w:t>2021</w:t>
      </w:r>
      <w:r w:rsidRPr="00F50B51">
        <w:rPr>
          <w:rFonts w:cs="Times New Roman" w:hint="eastAsia"/>
          <w:sz w:val="18"/>
          <w:szCs w:val="18"/>
        </w:rPr>
        <w:t>年</w:t>
      </w:r>
      <w:r w:rsidRPr="00F50B51">
        <w:rPr>
          <w:rFonts w:ascii="Times New Roman" w:hAnsi="Times New Roman" w:cs="Times New Roman"/>
          <w:sz w:val="18"/>
          <w:szCs w:val="18"/>
        </w:rPr>
        <w:t>10</w:t>
      </w:r>
      <w:r w:rsidRPr="00F50B51">
        <w:rPr>
          <w:rFonts w:cs="Times New Roman" w:hint="eastAsia"/>
          <w:sz w:val="18"/>
          <w:szCs w:val="18"/>
        </w:rPr>
        <w:t>月</w:t>
      </w:r>
      <w:r w:rsidRPr="00F50B51">
        <w:rPr>
          <w:rFonts w:ascii="Times New Roman" w:hAnsi="Times New Roman" w:cs="Times New Roman"/>
          <w:sz w:val="18"/>
          <w:szCs w:val="18"/>
        </w:rPr>
        <w:t>23</w:t>
      </w:r>
      <w:r w:rsidRPr="00F50B51">
        <w:rPr>
          <w:rFonts w:cs="Times New Roman" w:hint="eastAsia"/>
          <w:sz w:val="18"/>
          <w:szCs w:val="18"/>
        </w:rPr>
        <w:t>日。在公示期内，公司未收到关于本次拟激励对象的异议，并于</w:t>
      </w:r>
      <w:r w:rsidRPr="00F50B51">
        <w:rPr>
          <w:rFonts w:ascii="Times New Roman" w:hAnsi="Times New Roman" w:cs="Times New Roman"/>
          <w:sz w:val="18"/>
          <w:szCs w:val="18"/>
        </w:rPr>
        <w:t>2021</w:t>
      </w:r>
      <w:r w:rsidRPr="00F50B51">
        <w:rPr>
          <w:rFonts w:cs="Times New Roman" w:hint="eastAsia"/>
          <w:sz w:val="18"/>
          <w:szCs w:val="18"/>
        </w:rPr>
        <w:t>年</w:t>
      </w:r>
      <w:r w:rsidRPr="00F50B51">
        <w:rPr>
          <w:rFonts w:ascii="Times New Roman" w:hAnsi="Times New Roman" w:cs="Times New Roman"/>
          <w:sz w:val="18"/>
          <w:szCs w:val="18"/>
        </w:rPr>
        <w:t>10</w:t>
      </w:r>
      <w:r w:rsidRPr="00F50B51">
        <w:rPr>
          <w:rFonts w:cs="Times New Roman" w:hint="eastAsia"/>
          <w:sz w:val="18"/>
          <w:szCs w:val="18"/>
        </w:rPr>
        <w:t>月</w:t>
      </w:r>
      <w:r w:rsidRPr="00F50B51">
        <w:rPr>
          <w:rFonts w:ascii="Times New Roman" w:hAnsi="Times New Roman" w:cs="Times New Roman"/>
          <w:sz w:val="18"/>
          <w:szCs w:val="18"/>
        </w:rPr>
        <w:t>27</w:t>
      </w:r>
      <w:r w:rsidRPr="00F50B51">
        <w:rPr>
          <w:rFonts w:cs="Times New Roman" w:hint="eastAsia"/>
          <w:sz w:val="18"/>
          <w:szCs w:val="18"/>
        </w:rPr>
        <w:t>日披露了《监事会关于公司</w:t>
      </w:r>
      <w:r w:rsidRPr="00F50B51">
        <w:rPr>
          <w:rFonts w:ascii="Times New Roman" w:hAnsi="Times New Roman" w:cs="Times New Roman"/>
          <w:sz w:val="18"/>
          <w:szCs w:val="18"/>
        </w:rPr>
        <w:t>2021</w:t>
      </w:r>
      <w:r w:rsidRPr="00F50B51">
        <w:rPr>
          <w:rFonts w:cs="Times New Roman" w:hint="eastAsia"/>
          <w:sz w:val="18"/>
          <w:szCs w:val="18"/>
        </w:rPr>
        <w:t>年限制性股票激励计划激励对象名单的审核意见及公示情况说明》。</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lastRenderedPageBreak/>
        <w:t>2</w:t>
      </w:r>
      <w:r w:rsidRPr="00F50B51">
        <w:rPr>
          <w:rFonts w:cs="Times New Roman" w:hint="eastAsia"/>
          <w:sz w:val="18"/>
          <w:szCs w:val="18"/>
        </w:rPr>
        <w:t>、</w:t>
      </w:r>
      <w:r w:rsidRPr="00F50B51">
        <w:rPr>
          <w:rFonts w:ascii="Times New Roman" w:hAnsi="Times New Roman" w:cs="Times New Roman"/>
          <w:sz w:val="18"/>
          <w:szCs w:val="18"/>
        </w:rPr>
        <w:t>2021</w:t>
      </w:r>
      <w:r w:rsidRPr="00F50B51">
        <w:rPr>
          <w:rFonts w:cs="Times New Roman" w:hint="eastAsia"/>
          <w:sz w:val="18"/>
          <w:szCs w:val="18"/>
        </w:rPr>
        <w:t>年</w:t>
      </w:r>
      <w:r w:rsidRPr="00F50B51">
        <w:rPr>
          <w:rFonts w:ascii="Times New Roman" w:hAnsi="Times New Roman" w:cs="Times New Roman"/>
          <w:sz w:val="18"/>
          <w:szCs w:val="18"/>
        </w:rPr>
        <w:t>10</w:t>
      </w:r>
      <w:r w:rsidRPr="00F50B51">
        <w:rPr>
          <w:rFonts w:cs="Times New Roman" w:hint="eastAsia"/>
          <w:sz w:val="18"/>
          <w:szCs w:val="18"/>
        </w:rPr>
        <w:t>月</w:t>
      </w:r>
      <w:r w:rsidRPr="00F50B51">
        <w:rPr>
          <w:rFonts w:ascii="Times New Roman" w:hAnsi="Times New Roman" w:cs="Times New Roman"/>
          <w:sz w:val="18"/>
          <w:szCs w:val="18"/>
        </w:rPr>
        <w:t>27</w:t>
      </w:r>
      <w:r w:rsidRPr="00F50B51">
        <w:rPr>
          <w:rFonts w:cs="Times New Roman" w:hint="eastAsia"/>
          <w:sz w:val="18"/>
          <w:szCs w:val="18"/>
        </w:rPr>
        <w:t>日，公司披露了《关于</w:t>
      </w:r>
      <w:r w:rsidRPr="00F50B51">
        <w:rPr>
          <w:rFonts w:ascii="Times New Roman" w:hAnsi="Times New Roman" w:cs="Times New Roman"/>
          <w:sz w:val="18"/>
          <w:szCs w:val="18"/>
        </w:rPr>
        <w:t>2021</w:t>
      </w:r>
      <w:r w:rsidRPr="00F50B51">
        <w:rPr>
          <w:rFonts w:cs="Times New Roman" w:hint="eastAsia"/>
          <w:sz w:val="18"/>
          <w:szCs w:val="18"/>
        </w:rPr>
        <w:t>年限制性股票激励计划内幕信息知情人及激励对象买卖公司股票情况的自查报告》，公司对内幕信息知情人在公司本激励计划公告前</w:t>
      </w:r>
      <w:r w:rsidRPr="00F50B51">
        <w:rPr>
          <w:rFonts w:ascii="Times New Roman" w:hAnsi="Times New Roman" w:cs="Times New Roman"/>
          <w:sz w:val="18"/>
          <w:szCs w:val="18"/>
        </w:rPr>
        <w:t>6</w:t>
      </w:r>
      <w:r w:rsidRPr="00F50B51">
        <w:rPr>
          <w:rFonts w:cs="Times New Roman" w:hint="eastAsia"/>
          <w:sz w:val="18"/>
          <w:szCs w:val="18"/>
        </w:rPr>
        <w:t>个月内买卖公司股票的情况进行自查，未发现相关内幕信息知情人存在利用与激励计划相关的内幕信息进行股票买卖的行为。</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20</w:t>
      </w:r>
      <w:r w:rsidRPr="00F50B51">
        <w:rPr>
          <w:rFonts w:cs="Times New Roman" w:hint="eastAsia"/>
          <w:sz w:val="18"/>
          <w:szCs w:val="18"/>
        </w:rPr>
        <w:t>、</w:t>
      </w:r>
      <w:r w:rsidRPr="00F50B51">
        <w:rPr>
          <w:rFonts w:ascii="Times New Roman" w:hAnsi="Times New Roman" w:cs="Times New Roman"/>
          <w:sz w:val="18"/>
          <w:szCs w:val="18"/>
        </w:rPr>
        <w:t>2021</w:t>
      </w:r>
      <w:r w:rsidRPr="00F50B51">
        <w:rPr>
          <w:rFonts w:cs="Times New Roman" w:hint="eastAsia"/>
          <w:sz w:val="18"/>
          <w:szCs w:val="18"/>
        </w:rPr>
        <w:t>年</w:t>
      </w:r>
      <w:r w:rsidRPr="00F50B51">
        <w:rPr>
          <w:rFonts w:ascii="Times New Roman" w:hAnsi="Times New Roman" w:cs="Times New Roman"/>
          <w:sz w:val="18"/>
          <w:szCs w:val="18"/>
        </w:rPr>
        <w:t>10</w:t>
      </w:r>
      <w:r w:rsidRPr="00F50B51">
        <w:rPr>
          <w:rFonts w:cs="Times New Roman" w:hint="eastAsia"/>
          <w:sz w:val="18"/>
          <w:szCs w:val="18"/>
        </w:rPr>
        <w:t>月</w:t>
      </w:r>
      <w:r w:rsidRPr="00F50B51">
        <w:rPr>
          <w:rFonts w:ascii="Times New Roman" w:hAnsi="Times New Roman" w:cs="Times New Roman"/>
          <w:sz w:val="18"/>
          <w:szCs w:val="18"/>
        </w:rPr>
        <w:t>29</w:t>
      </w:r>
      <w:r w:rsidRPr="00F50B51">
        <w:rPr>
          <w:rFonts w:cs="Times New Roman" w:hint="eastAsia"/>
          <w:sz w:val="18"/>
          <w:szCs w:val="18"/>
        </w:rPr>
        <w:t>日，公司召开</w:t>
      </w:r>
      <w:r w:rsidRPr="00F50B51">
        <w:rPr>
          <w:rFonts w:ascii="Times New Roman" w:hAnsi="Times New Roman" w:cs="Times New Roman"/>
          <w:sz w:val="18"/>
          <w:szCs w:val="18"/>
        </w:rPr>
        <w:t>2021</w:t>
      </w:r>
      <w:r w:rsidRPr="00F50B51">
        <w:rPr>
          <w:rFonts w:cs="Times New Roman" w:hint="eastAsia"/>
          <w:sz w:val="18"/>
          <w:szCs w:val="18"/>
        </w:rPr>
        <w:t>年第三次临时股东大会，审议通过《关于</w:t>
      </w:r>
      <w:r w:rsidRPr="00F50B51">
        <w:rPr>
          <w:rFonts w:ascii="Times New Roman" w:hAnsi="Times New Roman" w:cs="Times New Roman"/>
          <w:sz w:val="18"/>
          <w:szCs w:val="18"/>
        </w:rPr>
        <w:t>〈</w:t>
      </w:r>
      <w:r w:rsidRPr="00F50B51">
        <w:rPr>
          <w:rFonts w:cs="Times New Roman" w:hint="eastAsia"/>
          <w:sz w:val="18"/>
          <w:szCs w:val="18"/>
        </w:rPr>
        <w:t>广东翔鹭钨业股份有限公司</w:t>
      </w:r>
      <w:r w:rsidRPr="00F50B51">
        <w:rPr>
          <w:rFonts w:ascii="Times New Roman" w:hAnsi="Times New Roman" w:cs="Times New Roman"/>
          <w:sz w:val="18"/>
          <w:szCs w:val="18"/>
        </w:rPr>
        <w:t>2021</w:t>
      </w:r>
      <w:r w:rsidRPr="00F50B51">
        <w:rPr>
          <w:rFonts w:cs="Times New Roman" w:hint="eastAsia"/>
          <w:sz w:val="18"/>
          <w:szCs w:val="18"/>
        </w:rPr>
        <w:t>年限制性</w:t>
      </w:r>
      <w:r w:rsidRPr="00F50B51">
        <w:rPr>
          <w:rFonts w:cs="Times New Roman" w:hint="eastAsia"/>
          <w:sz w:val="18"/>
          <w:szCs w:val="18"/>
        </w:rPr>
        <w:t>股票激励计划（草案）</w:t>
      </w:r>
      <w:r w:rsidRPr="00F50B51">
        <w:rPr>
          <w:rFonts w:ascii="Times New Roman" w:hAnsi="Times New Roman" w:cs="Times New Roman"/>
          <w:sz w:val="18"/>
          <w:szCs w:val="18"/>
        </w:rPr>
        <w:t>〉</w:t>
      </w:r>
      <w:r w:rsidRPr="00F50B51">
        <w:rPr>
          <w:rFonts w:cs="Times New Roman" w:hint="eastAsia"/>
          <w:sz w:val="18"/>
          <w:szCs w:val="18"/>
        </w:rPr>
        <w:t>及其摘要的议案》及其相关事项的议案。</w:t>
      </w:r>
    </w:p>
    <w:p w:rsidR="0058782B" w:rsidRPr="00F50B51" w:rsidRDefault="00F80EE7">
      <w:pPr>
        <w:pStyle w:val="a7"/>
        <w:rPr>
          <w:sz w:val="18"/>
          <w:szCs w:val="18"/>
        </w:rPr>
      </w:pPr>
      <w:r w:rsidRPr="00F50B51">
        <w:rPr>
          <w:rFonts w:ascii="Times New Roman" w:hAnsi="Times New Roman" w:cs="Times New Roman"/>
          <w:sz w:val="18"/>
          <w:szCs w:val="18"/>
        </w:rPr>
        <w:t>3</w:t>
      </w:r>
      <w:r w:rsidRPr="00F50B51">
        <w:rPr>
          <w:rFonts w:hint="eastAsia"/>
          <w:sz w:val="18"/>
          <w:szCs w:val="18"/>
        </w:rPr>
        <w:t>、</w:t>
      </w:r>
      <w:r w:rsidRPr="00F50B51">
        <w:rPr>
          <w:rFonts w:ascii="Times New Roman" w:hAnsi="Times New Roman" w:cs="Times New Roman"/>
          <w:sz w:val="18"/>
          <w:szCs w:val="18"/>
        </w:rPr>
        <w:t>2021</w:t>
      </w:r>
      <w:r w:rsidRPr="00F50B51">
        <w:rPr>
          <w:rFonts w:hint="eastAsia"/>
          <w:sz w:val="18"/>
          <w:szCs w:val="18"/>
        </w:rPr>
        <w:t>年</w:t>
      </w:r>
      <w:r w:rsidRPr="00F50B51">
        <w:rPr>
          <w:rFonts w:ascii="Times New Roman" w:hAnsi="Times New Roman" w:cs="Times New Roman"/>
          <w:sz w:val="18"/>
          <w:szCs w:val="18"/>
        </w:rPr>
        <w:t>11</w:t>
      </w:r>
      <w:r w:rsidRPr="00F50B51">
        <w:rPr>
          <w:rFonts w:hint="eastAsia"/>
          <w:sz w:val="18"/>
          <w:szCs w:val="18"/>
        </w:rPr>
        <w:t>月</w:t>
      </w:r>
      <w:r w:rsidRPr="00F50B51">
        <w:rPr>
          <w:rFonts w:ascii="Times New Roman" w:hAnsi="Times New Roman" w:cs="Times New Roman"/>
          <w:sz w:val="18"/>
          <w:szCs w:val="18"/>
        </w:rPr>
        <w:t>3</w:t>
      </w:r>
      <w:r w:rsidRPr="00F50B51">
        <w:rPr>
          <w:rFonts w:hint="eastAsia"/>
          <w:sz w:val="18"/>
          <w:szCs w:val="18"/>
        </w:rPr>
        <w:t>日，公司召开第四届董事会</w:t>
      </w:r>
      <w:r w:rsidRPr="00F50B51">
        <w:rPr>
          <w:rFonts w:ascii="Times New Roman" w:hAnsi="Times New Roman" w:cs="Times New Roman"/>
          <w:sz w:val="18"/>
          <w:szCs w:val="18"/>
        </w:rPr>
        <w:t>2021</w:t>
      </w:r>
      <w:r w:rsidRPr="00F50B51">
        <w:rPr>
          <w:rFonts w:hint="eastAsia"/>
          <w:sz w:val="18"/>
          <w:szCs w:val="18"/>
        </w:rPr>
        <w:t>年第六次临时会议和第四届监事会第七次会议，审议通过《关于调整公司</w:t>
      </w:r>
      <w:r w:rsidRPr="00F50B51">
        <w:rPr>
          <w:rFonts w:ascii="Times New Roman" w:hAnsi="Times New Roman" w:cs="Times New Roman"/>
          <w:sz w:val="18"/>
          <w:szCs w:val="18"/>
        </w:rPr>
        <w:t>2021</w:t>
      </w:r>
      <w:r w:rsidRPr="00F50B51">
        <w:rPr>
          <w:rFonts w:hint="eastAsia"/>
          <w:sz w:val="18"/>
          <w:szCs w:val="18"/>
        </w:rPr>
        <w:t>年限制性股票激励计划相关事项的议案》、《关于向公司</w:t>
      </w:r>
      <w:r w:rsidRPr="00F50B51">
        <w:rPr>
          <w:rFonts w:ascii="Times New Roman" w:hAnsi="Times New Roman" w:cs="Times New Roman"/>
          <w:sz w:val="18"/>
          <w:szCs w:val="18"/>
        </w:rPr>
        <w:t>2021</w:t>
      </w:r>
      <w:r w:rsidRPr="00F50B51">
        <w:rPr>
          <w:rFonts w:hint="eastAsia"/>
          <w:sz w:val="18"/>
          <w:szCs w:val="18"/>
        </w:rPr>
        <w:t>年限制性股票激励计划激励对象首次授予限制性股票相关事项的议案》等议案，确定以</w:t>
      </w:r>
      <w:r w:rsidRPr="00F50B51">
        <w:rPr>
          <w:rFonts w:ascii="Times New Roman" w:hAnsi="Times New Roman" w:cs="Times New Roman"/>
          <w:sz w:val="18"/>
          <w:szCs w:val="18"/>
        </w:rPr>
        <w:t>2021</w:t>
      </w:r>
      <w:r w:rsidRPr="00F50B51">
        <w:rPr>
          <w:rFonts w:hint="eastAsia"/>
          <w:sz w:val="18"/>
          <w:szCs w:val="18"/>
        </w:rPr>
        <w:t>年</w:t>
      </w:r>
      <w:r w:rsidRPr="00F50B51">
        <w:rPr>
          <w:rFonts w:ascii="Times New Roman" w:hAnsi="Times New Roman" w:cs="Times New Roman"/>
          <w:sz w:val="18"/>
          <w:szCs w:val="18"/>
        </w:rPr>
        <w:t>11</w:t>
      </w:r>
      <w:r w:rsidRPr="00F50B51">
        <w:rPr>
          <w:rFonts w:hint="eastAsia"/>
          <w:sz w:val="18"/>
          <w:szCs w:val="18"/>
        </w:rPr>
        <w:t>月</w:t>
      </w:r>
      <w:r w:rsidRPr="00F50B51">
        <w:rPr>
          <w:rFonts w:ascii="Times New Roman" w:hAnsi="Times New Roman" w:cs="Times New Roman"/>
          <w:sz w:val="18"/>
          <w:szCs w:val="18"/>
        </w:rPr>
        <w:t>3</w:t>
      </w:r>
      <w:r w:rsidRPr="00F50B51">
        <w:rPr>
          <w:rFonts w:hint="eastAsia"/>
          <w:sz w:val="18"/>
          <w:szCs w:val="18"/>
        </w:rPr>
        <w:t>日作为激励计划的授予日，向符合条件的</w:t>
      </w:r>
      <w:r w:rsidRPr="00F50B51">
        <w:rPr>
          <w:rFonts w:ascii="Times New Roman" w:hAnsi="Times New Roman" w:cs="Times New Roman"/>
          <w:sz w:val="18"/>
          <w:szCs w:val="18"/>
        </w:rPr>
        <w:t>116</w:t>
      </w:r>
      <w:r w:rsidRPr="00F50B51">
        <w:rPr>
          <w:rFonts w:hint="eastAsia"/>
          <w:sz w:val="18"/>
          <w:szCs w:val="18"/>
        </w:rPr>
        <w:t>名激励对象授予</w:t>
      </w:r>
      <w:r w:rsidRPr="00F50B51">
        <w:rPr>
          <w:rFonts w:ascii="Times New Roman" w:hAnsi="Times New Roman" w:cs="Times New Roman"/>
          <w:sz w:val="18"/>
          <w:szCs w:val="18"/>
        </w:rPr>
        <w:t>467.00</w:t>
      </w:r>
      <w:r w:rsidRPr="00F50B51">
        <w:rPr>
          <w:rFonts w:hint="eastAsia"/>
          <w:sz w:val="18"/>
          <w:szCs w:val="18"/>
        </w:rPr>
        <w:t>万股限制性股票，关联董事周伟平先生作为激励对象回避表决。公司独立董事对此发表了同意的独立意见，监事会对本次</w:t>
      </w:r>
      <w:r w:rsidRPr="00F50B51">
        <w:rPr>
          <w:rFonts w:hint="eastAsia"/>
          <w:sz w:val="18"/>
          <w:szCs w:val="18"/>
        </w:rPr>
        <w:t>授予限制性股票的激励对象名单进行了核实。</w:t>
      </w:r>
    </w:p>
    <w:p w:rsidR="0058782B" w:rsidRPr="00F50B51" w:rsidRDefault="00F80EE7">
      <w:pPr>
        <w:pStyle w:val="3"/>
        <w:spacing w:line="280" w:lineRule="exact"/>
        <w:jc w:val="left"/>
        <w:rPr>
          <w:rFonts w:ascii="宋体" w:hAnsi="宋体" w:cs="宋体"/>
          <w:b/>
          <w:bCs/>
        </w:rPr>
      </w:pPr>
      <w:bookmarkStart w:id="49" w:name="_Toc988937"/>
      <w:r w:rsidRPr="00F50B51">
        <w:rPr>
          <w:rFonts w:ascii="宋体" w:hAnsi="宋体" w:cs="宋体"/>
          <w:b/>
          <w:bCs/>
        </w:rPr>
        <w:t>2</w:t>
      </w:r>
      <w:r w:rsidRPr="00F50B51">
        <w:rPr>
          <w:rFonts w:ascii="宋体" w:hAnsi="宋体" w:cs="宋体"/>
          <w:b/>
          <w:bCs/>
        </w:rPr>
        <w:t>、员工持股计划的实施情况</w:t>
      </w:r>
      <w:bookmarkEnd w:id="49"/>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3"/>
        <w:spacing w:line="280" w:lineRule="exact"/>
        <w:jc w:val="left"/>
        <w:rPr>
          <w:rFonts w:ascii="宋体" w:hAnsi="宋体" w:cs="宋体"/>
          <w:b/>
          <w:bCs/>
        </w:rPr>
      </w:pPr>
      <w:bookmarkStart w:id="50" w:name="_Toc988938"/>
      <w:r w:rsidRPr="00F50B51">
        <w:rPr>
          <w:rFonts w:ascii="宋体" w:hAnsi="宋体" w:cs="宋体"/>
          <w:b/>
          <w:bCs/>
        </w:rPr>
        <w:t>3</w:t>
      </w:r>
      <w:r w:rsidRPr="00F50B51">
        <w:rPr>
          <w:rFonts w:ascii="宋体" w:hAnsi="宋体" w:cs="宋体"/>
          <w:b/>
          <w:bCs/>
        </w:rPr>
        <w:t>、其他员工激励措施</w:t>
      </w:r>
      <w:bookmarkEnd w:id="50"/>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r w:rsidRPr="00F50B51">
        <w:br w:type="page"/>
      </w:r>
    </w:p>
    <w:p w:rsidR="0058782B" w:rsidRPr="00F50B51" w:rsidRDefault="00F80EE7">
      <w:pPr>
        <w:pStyle w:val="headingh1"/>
        <w:spacing w:before="340" w:after="330" w:line="773" w:lineRule="exact"/>
        <w:jc w:val="center"/>
        <w:rPr>
          <w:rFonts w:ascii="宋体" w:eastAsia="宋体" w:hAnsi="宋体" w:cs="宋体"/>
          <w:b/>
          <w:bCs/>
          <w:sz w:val="32"/>
          <w:szCs w:val="32"/>
        </w:rPr>
      </w:pPr>
      <w:bookmarkStart w:id="51" w:name="_Toc988939"/>
      <w:r w:rsidRPr="00F50B51">
        <w:rPr>
          <w:rFonts w:ascii="宋体" w:eastAsia="宋体" w:hAnsi="宋体" w:cs="宋体"/>
          <w:b/>
          <w:bCs/>
          <w:sz w:val="32"/>
          <w:szCs w:val="32"/>
        </w:rPr>
        <w:lastRenderedPageBreak/>
        <w:t>第五节</w:t>
      </w:r>
      <w:r w:rsidRPr="00F50B51">
        <w:rPr>
          <w:rFonts w:ascii="宋体" w:eastAsia="宋体" w:hAnsi="宋体" w:cs="宋体"/>
          <w:b/>
          <w:bCs/>
          <w:sz w:val="32"/>
          <w:szCs w:val="32"/>
        </w:rPr>
        <w:t xml:space="preserve"> </w:t>
      </w:r>
      <w:r w:rsidRPr="00F50B51">
        <w:rPr>
          <w:rFonts w:ascii="宋体" w:eastAsia="宋体" w:hAnsi="宋体" w:cs="宋体"/>
          <w:b/>
          <w:bCs/>
          <w:sz w:val="32"/>
          <w:szCs w:val="32"/>
        </w:rPr>
        <w:t>环境和社会责任</w:t>
      </w:r>
      <w:bookmarkEnd w:id="51"/>
    </w:p>
    <w:p w:rsidR="0058782B" w:rsidRPr="00F50B51" w:rsidRDefault="00F80EE7">
      <w:pPr>
        <w:pStyle w:val="2"/>
        <w:spacing w:before="300" w:after="300" w:line="320" w:lineRule="exact"/>
        <w:rPr>
          <w:rFonts w:ascii="宋体" w:eastAsia="宋体" w:hAnsi="宋体" w:cs="宋体"/>
          <w:b/>
          <w:bCs/>
          <w:sz w:val="24"/>
          <w:szCs w:val="24"/>
        </w:rPr>
      </w:pPr>
      <w:bookmarkStart w:id="52" w:name="_Toc988940"/>
      <w:r w:rsidRPr="00F50B51">
        <w:rPr>
          <w:rFonts w:ascii="宋体" w:eastAsia="宋体" w:hAnsi="宋体" w:cs="宋体"/>
          <w:b/>
          <w:bCs/>
          <w:sz w:val="24"/>
          <w:szCs w:val="24"/>
        </w:rPr>
        <w:t>一、重大环保问题情况</w:t>
      </w:r>
      <w:bookmarkEnd w:id="52"/>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上市公司及其子公司是否属于环境保护部门公布的重点排污单位</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是</w:t>
      </w:r>
      <w:r w:rsidRPr="00F50B51">
        <w:rPr>
          <w:rFonts w:ascii="宋体" w:eastAsia="宋体" w:hAnsi="宋体" w:cs="宋体"/>
          <w:sz w:val="18"/>
          <w:szCs w:val="18"/>
        </w:rPr>
        <w:t xml:space="preserve"> □</w:t>
      </w:r>
      <w:r w:rsidRPr="00F50B51">
        <w:rPr>
          <w:rFonts w:ascii="宋体" w:eastAsia="宋体" w:hAnsi="宋体" w:cs="宋体"/>
          <w:sz w:val="18"/>
          <w:szCs w:val="18"/>
        </w:rPr>
        <w:t>否</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63"/>
        <w:gridCol w:w="964"/>
        <w:gridCol w:w="964"/>
        <w:gridCol w:w="964"/>
        <w:gridCol w:w="964"/>
        <w:gridCol w:w="964"/>
        <w:gridCol w:w="964"/>
        <w:gridCol w:w="964"/>
        <w:gridCol w:w="964"/>
        <w:gridCol w:w="964"/>
      </w:tblGrid>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公司或子公司名称</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主要污染物及特征污染物的名称</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排放方式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排放口数量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排放口分布情况</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排放浓度</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执行的污染物排放标准</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排放总量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核定的排放总量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超标排放情况</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PH</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连续排放</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厂区南侧废水总排口</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7.4mg/L</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（无量纲）</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6-9mg/L</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化学需氧量</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连续排放</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厂区南侧废水总排口</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9.55mg/L</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90mg/L</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1907kg</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21230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氨氮</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连续排放</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厂区南侧废水总排口</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0.39mg/L</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15mg/L</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81.5kg</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2170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砷</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连续排放</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厂区南侧废水总排口</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0.14mg/L</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0.5mg/L</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1.34kg</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镉</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连续排放</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厂区南侧废水总排口</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0.008mg/L</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0.1mg/L</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31.3kg</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二氧化硫</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间歇排放</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厂区西侧废气排排口</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3mg/m3</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50mg//m3</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22kg</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66kg</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氮氧化物</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间歇排放</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厂区西侧废气排排口</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44.7mg/m3</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120mg//m3</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324kg</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2400kg</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颗粒物</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间歇排放</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厂区西侧废气排排口</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1.9mg/m3</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20mg//m3</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14kg</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防治污染设施的建设和运行情况</w:t>
      </w:r>
    </w:p>
    <w:tbl>
      <w:tblPr>
        <w:tblW w:w="0" w:type="auto"/>
        <w:tblCellMar>
          <w:left w:w="0" w:type="dxa"/>
          <w:right w:w="0" w:type="dxa"/>
        </w:tblCellMar>
        <w:tblLook w:val="04A0"/>
      </w:tblPr>
      <w:tblGrid>
        <w:gridCol w:w="924"/>
        <w:gridCol w:w="1251"/>
        <w:gridCol w:w="2073"/>
        <w:gridCol w:w="1440"/>
        <w:gridCol w:w="1202"/>
        <w:gridCol w:w="1000"/>
        <w:gridCol w:w="1231"/>
      </w:tblGrid>
      <w:tr w:rsidR="0058782B" w:rsidRPr="00F50B51">
        <w:trPr>
          <w:trHeight w:val="1014"/>
        </w:trPr>
        <w:tc>
          <w:tcPr>
            <w:tcW w:w="924" w:type="dxa"/>
            <w:tcBorders>
              <w:top w:val="single" w:sz="8" w:space="0" w:color="000000"/>
              <w:left w:val="single" w:sz="8" w:space="0" w:color="000000"/>
              <w:bottom w:val="single" w:sz="8" w:space="0" w:color="000000"/>
              <w:right w:val="single" w:sz="8" w:space="0" w:color="000000"/>
            </w:tcBorders>
          </w:tcPr>
          <w:p w:rsidR="0058782B" w:rsidRPr="00F50B51" w:rsidRDefault="00F80EE7">
            <w:pPr>
              <w:pStyle w:val="a7"/>
              <w:spacing w:before="9" w:beforeAutospacing="0" w:after="0" w:afterAutospacing="0" w:line="312" w:lineRule="atLeast"/>
              <w:ind w:left="189" w:right="180"/>
              <w:jc w:val="both"/>
              <w:rPr>
                <w:sz w:val="22"/>
                <w:szCs w:val="22"/>
              </w:rPr>
            </w:pPr>
            <w:r w:rsidRPr="00F50B51">
              <w:rPr>
                <w:rStyle w:val="a9"/>
                <w:rFonts w:hint="eastAsia"/>
                <w:sz w:val="18"/>
                <w:szCs w:val="18"/>
              </w:rPr>
              <w:t>公司或子公司名称</w:t>
            </w:r>
          </w:p>
        </w:tc>
        <w:tc>
          <w:tcPr>
            <w:tcW w:w="1251" w:type="dxa"/>
            <w:tcBorders>
              <w:top w:val="single" w:sz="8" w:space="0" w:color="auto"/>
              <w:left w:val="nil"/>
              <w:bottom w:val="single" w:sz="8" w:space="0" w:color="auto"/>
              <w:right w:val="single" w:sz="8" w:space="0" w:color="auto"/>
            </w:tcBorders>
          </w:tcPr>
          <w:p w:rsidR="0058782B" w:rsidRPr="00F50B51" w:rsidRDefault="00F80EE7">
            <w:pPr>
              <w:pStyle w:val="a7"/>
              <w:spacing w:before="1" w:beforeAutospacing="0" w:after="0" w:afterAutospacing="0"/>
              <w:rPr>
                <w:sz w:val="22"/>
                <w:szCs w:val="22"/>
              </w:rPr>
            </w:pPr>
            <w:r w:rsidRPr="00F50B51">
              <w:rPr>
                <w:rStyle w:val="a9"/>
                <w:rFonts w:hint="eastAsia"/>
                <w:sz w:val="18"/>
                <w:szCs w:val="18"/>
              </w:rPr>
              <w:t> </w:t>
            </w:r>
          </w:p>
          <w:p w:rsidR="0058782B" w:rsidRPr="00F50B51" w:rsidRDefault="00F80EE7">
            <w:pPr>
              <w:pStyle w:val="a7"/>
              <w:spacing w:before="160" w:beforeAutospacing="0" w:after="0" w:afterAutospacing="0"/>
              <w:ind w:left="165"/>
              <w:rPr>
                <w:sz w:val="22"/>
                <w:szCs w:val="22"/>
              </w:rPr>
            </w:pPr>
            <w:r w:rsidRPr="00F50B51">
              <w:rPr>
                <w:rStyle w:val="a9"/>
                <w:rFonts w:hint="eastAsia"/>
                <w:sz w:val="18"/>
                <w:szCs w:val="18"/>
              </w:rPr>
              <w:t> </w:t>
            </w:r>
            <w:r w:rsidRPr="00F50B51">
              <w:rPr>
                <w:rStyle w:val="a9"/>
                <w:rFonts w:hint="eastAsia"/>
                <w:sz w:val="18"/>
                <w:szCs w:val="18"/>
              </w:rPr>
              <w:t>类别</w:t>
            </w:r>
          </w:p>
        </w:tc>
        <w:tc>
          <w:tcPr>
            <w:tcW w:w="2073" w:type="dxa"/>
            <w:tcBorders>
              <w:top w:val="single" w:sz="8" w:space="0" w:color="auto"/>
              <w:left w:val="nil"/>
              <w:bottom w:val="single" w:sz="8" w:space="0" w:color="auto"/>
              <w:right w:val="single" w:sz="8" w:space="0" w:color="auto"/>
            </w:tcBorders>
          </w:tcPr>
          <w:p w:rsidR="0058782B" w:rsidRPr="00F50B51" w:rsidRDefault="00F80EE7">
            <w:pPr>
              <w:pStyle w:val="a7"/>
              <w:spacing w:before="1" w:beforeAutospacing="0" w:after="0" w:afterAutospacing="0"/>
              <w:rPr>
                <w:sz w:val="22"/>
                <w:szCs w:val="22"/>
              </w:rPr>
            </w:pPr>
            <w:r w:rsidRPr="00F50B51">
              <w:rPr>
                <w:rStyle w:val="a9"/>
                <w:rFonts w:hint="eastAsia"/>
                <w:sz w:val="18"/>
                <w:szCs w:val="18"/>
              </w:rPr>
              <w:t> </w:t>
            </w:r>
          </w:p>
          <w:p w:rsidR="0058782B" w:rsidRPr="00F50B51" w:rsidRDefault="00F80EE7">
            <w:pPr>
              <w:pStyle w:val="a7"/>
              <w:spacing w:before="160" w:beforeAutospacing="0" w:after="0" w:afterAutospacing="0"/>
              <w:ind w:left="410"/>
              <w:rPr>
                <w:sz w:val="22"/>
                <w:szCs w:val="22"/>
              </w:rPr>
            </w:pPr>
            <w:r w:rsidRPr="00F50B51">
              <w:rPr>
                <w:rStyle w:val="a9"/>
                <w:rFonts w:hint="eastAsia"/>
                <w:sz w:val="18"/>
                <w:szCs w:val="18"/>
              </w:rPr>
              <w:t>防治污染设施名称</w:t>
            </w:r>
          </w:p>
        </w:tc>
        <w:tc>
          <w:tcPr>
            <w:tcW w:w="1440" w:type="dxa"/>
            <w:tcBorders>
              <w:top w:val="single" w:sz="8" w:space="0" w:color="auto"/>
              <w:left w:val="nil"/>
              <w:bottom w:val="single" w:sz="8" w:space="0" w:color="auto"/>
              <w:right w:val="single" w:sz="8" w:space="0" w:color="auto"/>
            </w:tcBorders>
          </w:tcPr>
          <w:p w:rsidR="0058782B" w:rsidRPr="00F50B51" w:rsidRDefault="00F80EE7">
            <w:pPr>
              <w:pStyle w:val="a7"/>
              <w:spacing w:before="1" w:beforeAutospacing="0" w:after="0" w:afterAutospacing="0"/>
              <w:rPr>
                <w:sz w:val="22"/>
                <w:szCs w:val="22"/>
              </w:rPr>
            </w:pPr>
            <w:r w:rsidRPr="00F50B51">
              <w:rPr>
                <w:rStyle w:val="a9"/>
                <w:rFonts w:hint="eastAsia"/>
                <w:sz w:val="18"/>
                <w:szCs w:val="18"/>
              </w:rPr>
              <w:t> </w:t>
            </w:r>
          </w:p>
          <w:p w:rsidR="0058782B" w:rsidRPr="00F50B51" w:rsidRDefault="00F80EE7">
            <w:pPr>
              <w:pStyle w:val="a7"/>
              <w:spacing w:before="160" w:beforeAutospacing="0" w:after="0" w:afterAutospacing="0"/>
              <w:ind w:left="357"/>
              <w:rPr>
                <w:sz w:val="22"/>
                <w:szCs w:val="22"/>
              </w:rPr>
            </w:pPr>
            <w:r w:rsidRPr="00F50B51">
              <w:rPr>
                <w:rStyle w:val="a9"/>
                <w:rFonts w:hint="eastAsia"/>
                <w:sz w:val="18"/>
                <w:szCs w:val="18"/>
              </w:rPr>
              <w:t>投运时间</w:t>
            </w:r>
          </w:p>
        </w:tc>
        <w:tc>
          <w:tcPr>
            <w:tcW w:w="1202" w:type="dxa"/>
            <w:tcBorders>
              <w:top w:val="single" w:sz="8" w:space="0" w:color="auto"/>
              <w:left w:val="nil"/>
              <w:bottom w:val="single" w:sz="8" w:space="0" w:color="auto"/>
              <w:right w:val="single" w:sz="8" w:space="0" w:color="auto"/>
            </w:tcBorders>
          </w:tcPr>
          <w:p w:rsidR="0058782B" w:rsidRPr="00F50B51" w:rsidRDefault="00F80EE7">
            <w:pPr>
              <w:pStyle w:val="a7"/>
              <w:spacing w:before="1" w:beforeAutospacing="0" w:after="0" w:afterAutospacing="0"/>
              <w:rPr>
                <w:sz w:val="22"/>
                <w:szCs w:val="22"/>
              </w:rPr>
            </w:pPr>
            <w:r w:rsidRPr="00F50B51">
              <w:rPr>
                <w:rStyle w:val="a9"/>
                <w:rFonts w:hint="eastAsia"/>
                <w:sz w:val="18"/>
                <w:szCs w:val="18"/>
              </w:rPr>
              <w:t> </w:t>
            </w:r>
          </w:p>
          <w:p w:rsidR="0058782B" w:rsidRPr="00F50B51" w:rsidRDefault="00F80EE7">
            <w:pPr>
              <w:pStyle w:val="a7"/>
              <w:spacing w:before="160" w:beforeAutospacing="0" w:after="0" w:afterAutospacing="0"/>
              <w:ind w:left="239"/>
              <w:rPr>
                <w:sz w:val="22"/>
                <w:szCs w:val="22"/>
              </w:rPr>
            </w:pPr>
            <w:r w:rsidRPr="00F50B51">
              <w:rPr>
                <w:rStyle w:val="a9"/>
                <w:rFonts w:hint="eastAsia"/>
                <w:sz w:val="18"/>
                <w:szCs w:val="18"/>
              </w:rPr>
              <w:t>处理能力</w:t>
            </w:r>
          </w:p>
        </w:tc>
        <w:tc>
          <w:tcPr>
            <w:tcW w:w="1000" w:type="dxa"/>
            <w:tcBorders>
              <w:top w:val="single" w:sz="8" w:space="0" w:color="auto"/>
              <w:left w:val="nil"/>
              <w:bottom w:val="single" w:sz="8" w:space="0" w:color="auto"/>
              <w:right w:val="single" w:sz="8" w:space="0" w:color="auto"/>
            </w:tcBorders>
          </w:tcPr>
          <w:p w:rsidR="0058782B" w:rsidRPr="00F50B51" w:rsidRDefault="00F80EE7">
            <w:pPr>
              <w:pStyle w:val="a7"/>
              <w:spacing w:before="1" w:beforeAutospacing="0" w:after="0" w:afterAutospacing="0"/>
              <w:rPr>
                <w:sz w:val="22"/>
                <w:szCs w:val="22"/>
              </w:rPr>
            </w:pPr>
            <w:r w:rsidRPr="00F50B51">
              <w:rPr>
                <w:rStyle w:val="a9"/>
                <w:rFonts w:hint="eastAsia"/>
                <w:sz w:val="18"/>
                <w:szCs w:val="18"/>
              </w:rPr>
              <w:t> </w:t>
            </w:r>
          </w:p>
          <w:p w:rsidR="0058782B" w:rsidRPr="00F50B51" w:rsidRDefault="00F80EE7">
            <w:pPr>
              <w:pStyle w:val="a7"/>
              <w:spacing w:before="160" w:beforeAutospacing="0" w:after="0" w:afterAutospacing="0"/>
              <w:ind w:left="139"/>
              <w:rPr>
                <w:sz w:val="22"/>
                <w:szCs w:val="22"/>
              </w:rPr>
            </w:pPr>
            <w:r w:rsidRPr="00F50B51">
              <w:rPr>
                <w:rStyle w:val="a9"/>
                <w:rFonts w:hint="eastAsia"/>
                <w:sz w:val="18"/>
                <w:szCs w:val="18"/>
              </w:rPr>
              <w:t>运行情况</w:t>
            </w:r>
          </w:p>
        </w:tc>
        <w:tc>
          <w:tcPr>
            <w:tcW w:w="1231" w:type="dxa"/>
            <w:tcBorders>
              <w:top w:val="single" w:sz="8" w:space="0" w:color="auto"/>
              <w:left w:val="nil"/>
              <w:bottom w:val="single" w:sz="8" w:space="0" w:color="auto"/>
              <w:right w:val="single" w:sz="8" w:space="0" w:color="auto"/>
            </w:tcBorders>
          </w:tcPr>
          <w:p w:rsidR="0058782B" w:rsidRPr="00F50B51" w:rsidRDefault="00F80EE7">
            <w:pPr>
              <w:pStyle w:val="a7"/>
              <w:spacing w:before="1" w:beforeAutospacing="0" w:after="0" w:afterAutospacing="0"/>
              <w:rPr>
                <w:sz w:val="22"/>
                <w:szCs w:val="22"/>
              </w:rPr>
            </w:pPr>
            <w:r w:rsidRPr="00F50B51">
              <w:rPr>
                <w:rStyle w:val="a9"/>
                <w:rFonts w:hint="eastAsia"/>
                <w:sz w:val="18"/>
                <w:szCs w:val="18"/>
              </w:rPr>
              <w:t> </w:t>
            </w:r>
          </w:p>
          <w:p w:rsidR="0058782B" w:rsidRPr="00F50B51" w:rsidRDefault="00F80EE7">
            <w:pPr>
              <w:pStyle w:val="a7"/>
              <w:spacing w:before="160" w:beforeAutospacing="0" w:after="0" w:afterAutospacing="0"/>
              <w:jc w:val="center"/>
              <w:rPr>
                <w:sz w:val="22"/>
                <w:szCs w:val="22"/>
              </w:rPr>
            </w:pPr>
            <w:r w:rsidRPr="00F50B51">
              <w:rPr>
                <w:rStyle w:val="a9"/>
                <w:rFonts w:hint="eastAsia"/>
                <w:sz w:val="18"/>
                <w:szCs w:val="18"/>
              </w:rPr>
              <w:t>运维单位</w:t>
            </w:r>
          </w:p>
        </w:tc>
      </w:tr>
      <w:tr w:rsidR="0058782B" w:rsidRPr="00F50B51">
        <w:trPr>
          <w:trHeight w:val="393"/>
        </w:trPr>
        <w:tc>
          <w:tcPr>
            <w:tcW w:w="924" w:type="dxa"/>
            <w:vMerge w:val="restart"/>
            <w:tcBorders>
              <w:top w:val="nil"/>
              <w:left w:val="single" w:sz="8" w:space="0" w:color="auto"/>
              <w:bottom w:val="single" w:sz="8" w:space="0" w:color="auto"/>
              <w:right w:val="single" w:sz="8" w:space="0" w:color="auto"/>
            </w:tcBorders>
            <w:vAlign w:val="center"/>
          </w:tcPr>
          <w:p w:rsidR="0058782B" w:rsidRPr="00F50B51" w:rsidRDefault="00F80EE7">
            <w:pPr>
              <w:pStyle w:val="a7"/>
              <w:spacing w:before="1" w:beforeAutospacing="0" w:after="0" w:afterAutospacing="0" w:line="324" w:lineRule="auto"/>
              <w:ind w:right="264"/>
              <w:jc w:val="both"/>
              <w:rPr>
                <w:sz w:val="22"/>
                <w:szCs w:val="22"/>
              </w:rPr>
            </w:pPr>
            <w:r w:rsidRPr="00F50B51">
              <w:rPr>
                <w:rFonts w:hint="eastAsia"/>
                <w:sz w:val="22"/>
                <w:szCs w:val="22"/>
              </w:rPr>
              <w:t>广东翔鹭钨业股份有限公司</w:t>
            </w:r>
          </w:p>
        </w:tc>
        <w:tc>
          <w:tcPr>
            <w:tcW w:w="1251" w:type="dxa"/>
            <w:tcBorders>
              <w:top w:val="nil"/>
              <w:left w:val="nil"/>
              <w:bottom w:val="single" w:sz="8" w:space="0" w:color="auto"/>
              <w:right w:val="single" w:sz="8" w:space="0" w:color="auto"/>
            </w:tcBorders>
            <w:vAlign w:val="center"/>
          </w:tcPr>
          <w:p w:rsidR="0058782B" w:rsidRPr="00F50B51" w:rsidRDefault="00F80EE7">
            <w:pPr>
              <w:pStyle w:val="a7"/>
              <w:spacing w:before="81" w:beforeAutospacing="0" w:after="0" w:afterAutospacing="0"/>
              <w:ind w:left="107"/>
              <w:jc w:val="center"/>
              <w:rPr>
                <w:sz w:val="22"/>
                <w:szCs w:val="22"/>
              </w:rPr>
            </w:pPr>
            <w:r w:rsidRPr="00F50B51">
              <w:rPr>
                <w:rFonts w:hint="eastAsia"/>
                <w:sz w:val="18"/>
                <w:szCs w:val="18"/>
              </w:rPr>
              <w:t>水污染物</w:t>
            </w:r>
          </w:p>
        </w:tc>
        <w:tc>
          <w:tcPr>
            <w:tcW w:w="2073" w:type="dxa"/>
            <w:tcBorders>
              <w:top w:val="nil"/>
              <w:left w:val="nil"/>
              <w:bottom w:val="single" w:sz="8" w:space="0" w:color="auto"/>
              <w:right w:val="single" w:sz="8" w:space="0" w:color="auto"/>
            </w:tcBorders>
          </w:tcPr>
          <w:p w:rsidR="0058782B" w:rsidRPr="00F50B51" w:rsidRDefault="00F80EE7">
            <w:pPr>
              <w:pStyle w:val="a7"/>
              <w:spacing w:before="81" w:beforeAutospacing="0" w:after="0" w:afterAutospacing="0"/>
              <w:ind w:left="107"/>
              <w:jc w:val="center"/>
              <w:rPr>
                <w:sz w:val="22"/>
                <w:szCs w:val="22"/>
              </w:rPr>
            </w:pPr>
            <w:r w:rsidRPr="00F50B51">
              <w:rPr>
                <w:rFonts w:hint="eastAsia"/>
                <w:sz w:val="18"/>
                <w:szCs w:val="18"/>
              </w:rPr>
              <w:t>废水处理站</w:t>
            </w:r>
          </w:p>
        </w:tc>
        <w:tc>
          <w:tcPr>
            <w:tcW w:w="1440" w:type="dxa"/>
            <w:tcBorders>
              <w:top w:val="nil"/>
              <w:left w:val="nil"/>
              <w:bottom w:val="single" w:sz="8" w:space="0" w:color="auto"/>
              <w:right w:val="single" w:sz="8" w:space="0" w:color="auto"/>
            </w:tcBorders>
          </w:tcPr>
          <w:p w:rsidR="0058782B" w:rsidRPr="00F50B51" w:rsidRDefault="00F80EE7">
            <w:pPr>
              <w:pStyle w:val="a7"/>
              <w:spacing w:before="81" w:beforeAutospacing="0" w:after="0" w:afterAutospacing="0"/>
              <w:ind w:left="107"/>
              <w:jc w:val="center"/>
              <w:rPr>
                <w:sz w:val="22"/>
                <w:szCs w:val="22"/>
              </w:rPr>
            </w:pPr>
            <w:r w:rsidRPr="00F50B51">
              <w:rPr>
                <w:rFonts w:ascii="Times New Roman" w:hAnsi="Times New Roman" w:cs="Times New Roman"/>
                <w:sz w:val="18"/>
                <w:szCs w:val="18"/>
              </w:rPr>
              <w:t>2009</w:t>
            </w:r>
            <w:r w:rsidRPr="00F50B51">
              <w:rPr>
                <w:rFonts w:hint="eastAsia"/>
                <w:sz w:val="18"/>
                <w:szCs w:val="18"/>
              </w:rPr>
              <w:t>年</w:t>
            </w:r>
          </w:p>
        </w:tc>
        <w:tc>
          <w:tcPr>
            <w:tcW w:w="1202" w:type="dxa"/>
            <w:tcBorders>
              <w:top w:val="nil"/>
              <w:left w:val="nil"/>
              <w:bottom w:val="single" w:sz="8" w:space="0" w:color="auto"/>
              <w:right w:val="single" w:sz="8" w:space="0" w:color="auto"/>
            </w:tcBorders>
          </w:tcPr>
          <w:p w:rsidR="0058782B" w:rsidRPr="00F50B51" w:rsidRDefault="00F80EE7">
            <w:pPr>
              <w:pStyle w:val="a7"/>
              <w:spacing w:before="93" w:beforeAutospacing="0" w:after="0" w:afterAutospacing="0"/>
              <w:ind w:left="107"/>
              <w:jc w:val="center"/>
              <w:rPr>
                <w:sz w:val="22"/>
                <w:szCs w:val="22"/>
              </w:rPr>
            </w:pPr>
            <w:r w:rsidRPr="00F50B51">
              <w:rPr>
                <w:rFonts w:ascii="Times New Roman" w:hAnsi="Times New Roman" w:cs="Times New Roman"/>
                <w:sz w:val="18"/>
                <w:szCs w:val="18"/>
              </w:rPr>
              <w:t>1500m³/d</w:t>
            </w:r>
          </w:p>
        </w:tc>
        <w:tc>
          <w:tcPr>
            <w:tcW w:w="1000" w:type="dxa"/>
            <w:tcBorders>
              <w:top w:val="nil"/>
              <w:left w:val="nil"/>
              <w:bottom w:val="single" w:sz="8" w:space="0" w:color="auto"/>
              <w:right w:val="single" w:sz="8" w:space="0" w:color="auto"/>
            </w:tcBorders>
          </w:tcPr>
          <w:p w:rsidR="0058782B" w:rsidRPr="00F50B51" w:rsidRDefault="00F80EE7">
            <w:pPr>
              <w:pStyle w:val="a7"/>
              <w:spacing w:before="81" w:beforeAutospacing="0" w:after="0" w:afterAutospacing="0"/>
              <w:ind w:left="108"/>
              <w:jc w:val="center"/>
              <w:rPr>
                <w:sz w:val="22"/>
                <w:szCs w:val="22"/>
              </w:rPr>
            </w:pPr>
            <w:r w:rsidRPr="00F50B51">
              <w:rPr>
                <w:rFonts w:hint="eastAsia"/>
                <w:sz w:val="18"/>
                <w:szCs w:val="18"/>
              </w:rPr>
              <w:t>正常运行</w:t>
            </w:r>
          </w:p>
        </w:tc>
        <w:tc>
          <w:tcPr>
            <w:tcW w:w="1231" w:type="dxa"/>
            <w:tcBorders>
              <w:top w:val="nil"/>
              <w:left w:val="nil"/>
              <w:bottom w:val="single" w:sz="8" w:space="0" w:color="auto"/>
              <w:right w:val="single" w:sz="8" w:space="0" w:color="auto"/>
            </w:tcBorders>
          </w:tcPr>
          <w:p w:rsidR="0058782B" w:rsidRPr="00F50B51" w:rsidRDefault="00F80EE7">
            <w:pPr>
              <w:pStyle w:val="a7"/>
              <w:spacing w:before="81" w:beforeAutospacing="0" w:after="0" w:afterAutospacing="0"/>
              <w:ind w:left="108"/>
              <w:jc w:val="center"/>
              <w:rPr>
                <w:sz w:val="22"/>
                <w:szCs w:val="22"/>
              </w:rPr>
            </w:pPr>
            <w:r w:rsidRPr="00F50B51">
              <w:rPr>
                <w:rFonts w:hint="eastAsia"/>
                <w:sz w:val="18"/>
                <w:szCs w:val="18"/>
              </w:rPr>
              <w:t>自运维</w:t>
            </w:r>
          </w:p>
        </w:tc>
      </w:tr>
      <w:tr w:rsidR="0058782B" w:rsidRPr="00F50B51">
        <w:trPr>
          <w:trHeight w:val="441"/>
        </w:trPr>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1251" w:type="dxa"/>
            <w:vMerge w:val="restart"/>
            <w:tcBorders>
              <w:top w:val="nil"/>
              <w:left w:val="single" w:sz="8" w:space="0" w:color="auto"/>
              <w:bottom w:val="single" w:sz="8" w:space="0" w:color="auto"/>
              <w:right w:val="single" w:sz="8" w:space="0" w:color="auto"/>
            </w:tcBorders>
            <w:vAlign w:val="center"/>
          </w:tcPr>
          <w:p w:rsidR="0058782B" w:rsidRPr="00F50B51" w:rsidRDefault="00F80EE7">
            <w:pPr>
              <w:pStyle w:val="a7"/>
              <w:spacing w:before="1" w:beforeAutospacing="0" w:after="0" w:afterAutospacing="0" w:line="324" w:lineRule="auto"/>
              <w:ind w:right="216"/>
              <w:jc w:val="center"/>
              <w:rPr>
                <w:sz w:val="22"/>
                <w:szCs w:val="22"/>
              </w:rPr>
            </w:pPr>
            <w:r w:rsidRPr="00F50B51">
              <w:rPr>
                <w:rFonts w:hint="eastAsia"/>
                <w:sz w:val="18"/>
                <w:szCs w:val="18"/>
              </w:rPr>
              <w:t>大气污染物</w:t>
            </w:r>
          </w:p>
        </w:tc>
        <w:tc>
          <w:tcPr>
            <w:tcW w:w="2073"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7"/>
              <w:jc w:val="center"/>
              <w:rPr>
                <w:sz w:val="22"/>
                <w:szCs w:val="22"/>
              </w:rPr>
            </w:pPr>
            <w:r w:rsidRPr="00F50B51">
              <w:rPr>
                <w:rFonts w:hint="eastAsia"/>
                <w:sz w:val="18"/>
                <w:szCs w:val="18"/>
              </w:rPr>
              <w:t>锅炉低氮燃烧装置</w:t>
            </w:r>
          </w:p>
        </w:tc>
        <w:tc>
          <w:tcPr>
            <w:tcW w:w="1440" w:type="dxa"/>
            <w:tcBorders>
              <w:top w:val="nil"/>
              <w:left w:val="nil"/>
              <w:bottom w:val="single" w:sz="8" w:space="0" w:color="auto"/>
              <w:right w:val="single" w:sz="8" w:space="0" w:color="auto"/>
            </w:tcBorders>
            <w:vAlign w:val="center"/>
          </w:tcPr>
          <w:p w:rsidR="0058782B" w:rsidRPr="00F50B51" w:rsidRDefault="00F80EE7">
            <w:pPr>
              <w:pStyle w:val="a7"/>
              <w:spacing w:before="1" w:beforeAutospacing="0" w:after="0" w:afterAutospacing="0"/>
              <w:jc w:val="center"/>
              <w:rPr>
                <w:sz w:val="22"/>
                <w:szCs w:val="22"/>
              </w:rPr>
            </w:pPr>
            <w:r w:rsidRPr="00F50B51">
              <w:rPr>
                <w:rFonts w:ascii="Times New Roman" w:hAnsi="Times New Roman" w:cs="Times New Roman"/>
                <w:sz w:val="18"/>
                <w:szCs w:val="18"/>
              </w:rPr>
              <w:t>2020</w:t>
            </w:r>
            <w:r w:rsidRPr="00F50B51">
              <w:rPr>
                <w:rFonts w:hint="eastAsia"/>
                <w:sz w:val="18"/>
                <w:szCs w:val="18"/>
              </w:rPr>
              <w:t>年</w:t>
            </w:r>
          </w:p>
        </w:tc>
        <w:tc>
          <w:tcPr>
            <w:tcW w:w="1202" w:type="dxa"/>
            <w:tcBorders>
              <w:top w:val="nil"/>
              <w:left w:val="nil"/>
              <w:bottom w:val="single" w:sz="8" w:space="0" w:color="auto"/>
              <w:right w:val="single" w:sz="8" w:space="0" w:color="auto"/>
            </w:tcBorders>
            <w:vAlign w:val="center"/>
          </w:tcPr>
          <w:p w:rsidR="0058782B" w:rsidRPr="00F50B51" w:rsidRDefault="00F80EE7">
            <w:pPr>
              <w:pStyle w:val="a7"/>
              <w:spacing w:before="1" w:beforeAutospacing="0" w:after="0" w:afterAutospacing="0"/>
              <w:jc w:val="center"/>
              <w:rPr>
                <w:sz w:val="22"/>
                <w:szCs w:val="22"/>
              </w:rPr>
            </w:pPr>
            <w:r w:rsidRPr="00F50B51">
              <w:rPr>
                <w:rFonts w:ascii="Times New Roman" w:hAnsi="Times New Roman" w:cs="Times New Roman"/>
                <w:sz w:val="18"/>
                <w:szCs w:val="18"/>
              </w:rPr>
              <w:t>6000m³/h</w:t>
            </w:r>
          </w:p>
        </w:tc>
        <w:tc>
          <w:tcPr>
            <w:tcW w:w="1000" w:type="dxa"/>
            <w:tcBorders>
              <w:top w:val="nil"/>
              <w:left w:val="nil"/>
              <w:bottom w:val="single" w:sz="8" w:space="0" w:color="auto"/>
              <w:right w:val="single" w:sz="8" w:space="0" w:color="auto"/>
            </w:tcBorders>
            <w:vAlign w:val="center"/>
          </w:tcPr>
          <w:p w:rsidR="0058782B" w:rsidRPr="00F50B51" w:rsidRDefault="00F80EE7">
            <w:pPr>
              <w:pStyle w:val="a7"/>
              <w:spacing w:before="1" w:beforeAutospacing="0" w:after="0" w:afterAutospacing="0"/>
              <w:jc w:val="center"/>
              <w:rPr>
                <w:sz w:val="22"/>
                <w:szCs w:val="22"/>
              </w:rPr>
            </w:pPr>
            <w:r w:rsidRPr="00F50B51">
              <w:rPr>
                <w:rFonts w:hint="eastAsia"/>
                <w:sz w:val="18"/>
                <w:szCs w:val="18"/>
              </w:rPr>
              <w:t>正常运行</w:t>
            </w:r>
          </w:p>
        </w:tc>
        <w:tc>
          <w:tcPr>
            <w:tcW w:w="1231" w:type="dxa"/>
            <w:tcBorders>
              <w:top w:val="nil"/>
              <w:left w:val="nil"/>
              <w:bottom w:val="single" w:sz="8" w:space="0" w:color="auto"/>
              <w:right w:val="single" w:sz="8" w:space="0" w:color="auto"/>
            </w:tcBorders>
            <w:vAlign w:val="center"/>
          </w:tcPr>
          <w:p w:rsidR="0058782B" w:rsidRPr="00F50B51" w:rsidRDefault="00F80EE7">
            <w:pPr>
              <w:pStyle w:val="a7"/>
              <w:spacing w:before="1" w:beforeAutospacing="0" w:after="0" w:afterAutospacing="0"/>
              <w:jc w:val="center"/>
              <w:rPr>
                <w:sz w:val="22"/>
                <w:szCs w:val="22"/>
              </w:rPr>
            </w:pPr>
            <w:r w:rsidRPr="00F50B51">
              <w:rPr>
                <w:rFonts w:hint="eastAsia"/>
                <w:sz w:val="18"/>
                <w:szCs w:val="18"/>
              </w:rPr>
              <w:t>自运维</w:t>
            </w:r>
          </w:p>
        </w:tc>
      </w:tr>
      <w:tr w:rsidR="0058782B" w:rsidRPr="00F50B51">
        <w:trPr>
          <w:trHeight w:val="393"/>
        </w:trPr>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2073" w:type="dxa"/>
            <w:tcBorders>
              <w:top w:val="nil"/>
              <w:left w:val="single" w:sz="8" w:space="0" w:color="auto"/>
              <w:bottom w:val="single" w:sz="8" w:space="0" w:color="auto"/>
              <w:right w:val="single" w:sz="8" w:space="0" w:color="auto"/>
            </w:tcBorders>
          </w:tcPr>
          <w:p w:rsidR="0058782B" w:rsidRPr="00F50B51" w:rsidRDefault="00F80EE7">
            <w:pPr>
              <w:pStyle w:val="a7"/>
              <w:spacing w:before="79" w:beforeAutospacing="0" w:after="0" w:afterAutospacing="0"/>
              <w:ind w:left="107"/>
              <w:jc w:val="center"/>
              <w:rPr>
                <w:sz w:val="22"/>
                <w:szCs w:val="22"/>
              </w:rPr>
            </w:pPr>
            <w:r w:rsidRPr="00F50B51">
              <w:rPr>
                <w:rFonts w:hint="eastAsia"/>
                <w:sz w:val="18"/>
                <w:szCs w:val="18"/>
              </w:rPr>
              <w:t>蒸发废气装置</w:t>
            </w:r>
          </w:p>
        </w:tc>
        <w:tc>
          <w:tcPr>
            <w:tcW w:w="1440"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7"/>
              <w:jc w:val="center"/>
              <w:rPr>
                <w:sz w:val="22"/>
                <w:szCs w:val="22"/>
              </w:rPr>
            </w:pPr>
            <w:r w:rsidRPr="00F50B51">
              <w:rPr>
                <w:rFonts w:ascii="Times New Roman" w:hAnsi="Times New Roman" w:cs="Times New Roman"/>
                <w:sz w:val="18"/>
                <w:szCs w:val="18"/>
              </w:rPr>
              <w:t xml:space="preserve">2009 </w:t>
            </w:r>
            <w:r w:rsidRPr="00F50B51">
              <w:rPr>
                <w:rFonts w:hint="eastAsia"/>
                <w:sz w:val="18"/>
                <w:szCs w:val="18"/>
              </w:rPr>
              <w:t>年</w:t>
            </w:r>
          </w:p>
        </w:tc>
        <w:tc>
          <w:tcPr>
            <w:tcW w:w="1202" w:type="dxa"/>
            <w:tcBorders>
              <w:top w:val="nil"/>
              <w:left w:val="nil"/>
              <w:bottom w:val="single" w:sz="8" w:space="0" w:color="auto"/>
              <w:right w:val="single" w:sz="8" w:space="0" w:color="auto"/>
            </w:tcBorders>
          </w:tcPr>
          <w:p w:rsidR="0058782B" w:rsidRPr="00F50B51" w:rsidRDefault="00F80EE7">
            <w:pPr>
              <w:pStyle w:val="a7"/>
              <w:spacing w:before="40" w:beforeAutospacing="0" w:after="40" w:afterAutospacing="0"/>
              <w:jc w:val="center"/>
              <w:rPr>
                <w:rFonts w:ascii="Times New Roman" w:hAnsi="Times New Roman" w:cs="Times New Roman"/>
                <w:sz w:val="18"/>
                <w:szCs w:val="18"/>
              </w:rPr>
            </w:pPr>
            <w:r w:rsidRPr="00F50B51">
              <w:rPr>
                <w:rFonts w:ascii="Times New Roman" w:hAnsi="Times New Roman" w:cs="Times New Roman"/>
                <w:sz w:val="18"/>
                <w:szCs w:val="18"/>
              </w:rPr>
              <w:t>2000m³/h</w:t>
            </w:r>
          </w:p>
        </w:tc>
        <w:tc>
          <w:tcPr>
            <w:tcW w:w="1000"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8"/>
              <w:jc w:val="center"/>
              <w:rPr>
                <w:sz w:val="22"/>
                <w:szCs w:val="22"/>
              </w:rPr>
            </w:pPr>
            <w:r w:rsidRPr="00F50B51">
              <w:rPr>
                <w:rFonts w:hint="eastAsia"/>
                <w:sz w:val="18"/>
                <w:szCs w:val="18"/>
              </w:rPr>
              <w:t>正常运行</w:t>
            </w:r>
          </w:p>
        </w:tc>
        <w:tc>
          <w:tcPr>
            <w:tcW w:w="1231"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8"/>
              <w:jc w:val="center"/>
              <w:rPr>
                <w:sz w:val="22"/>
                <w:szCs w:val="22"/>
              </w:rPr>
            </w:pPr>
            <w:r w:rsidRPr="00F50B51">
              <w:rPr>
                <w:rFonts w:hint="eastAsia"/>
                <w:sz w:val="18"/>
                <w:szCs w:val="18"/>
              </w:rPr>
              <w:t>自运维</w:t>
            </w:r>
          </w:p>
        </w:tc>
      </w:tr>
      <w:tr w:rsidR="0058782B" w:rsidRPr="00F50B51">
        <w:trPr>
          <w:trHeight w:val="393"/>
        </w:trPr>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2073" w:type="dxa"/>
            <w:tcBorders>
              <w:top w:val="nil"/>
              <w:left w:val="single" w:sz="8" w:space="0" w:color="auto"/>
              <w:bottom w:val="single" w:sz="8" w:space="0" w:color="auto"/>
              <w:right w:val="single" w:sz="8" w:space="0" w:color="auto"/>
            </w:tcBorders>
          </w:tcPr>
          <w:p w:rsidR="0058782B" w:rsidRPr="00F50B51" w:rsidRDefault="00F80EE7">
            <w:pPr>
              <w:pStyle w:val="a7"/>
              <w:spacing w:before="79" w:beforeAutospacing="0" w:after="0" w:afterAutospacing="0"/>
              <w:ind w:left="107"/>
              <w:jc w:val="center"/>
              <w:rPr>
                <w:sz w:val="22"/>
                <w:szCs w:val="22"/>
              </w:rPr>
            </w:pPr>
            <w:r w:rsidRPr="00F50B51">
              <w:rPr>
                <w:rFonts w:hint="eastAsia"/>
                <w:sz w:val="18"/>
                <w:szCs w:val="18"/>
              </w:rPr>
              <w:t>蓝钨废气装置</w:t>
            </w:r>
          </w:p>
        </w:tc>
        <w:tc>
          <w:tcPr>
            <w:tcW w:w="1440"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7"/>
              <w:jc w:val="center"/>
              <w:rPr>
                <w:sz w:val="22"/>
                <w:szCs w:val="22"/>
              </w:rPr>
            </w:pPr>
            <w:r w:rsidRPr="00F50B51">
              <w:rPr>
                <w:rFonts w:ascii="Times New Roman" w:hAnsi="Times New Roman" w:cs="Times New Roman"/>
                <w:sz w:val="18"/>
                <w:szCs w:val="18"/>
              </w:rPr>
              <w:t xml:space="preserve">2009 </w:t>
            </w:r>
            <w:r w:rsidRPr="00F50B51">
              <w:rPr>
                <w:rFonts w:hint="eastAsia"/>
                <w:sz w:val="18"/>
                <w:szCs w:val="18"/>
              </w:rPr>
              <w:t>年</w:t>
            </w:r>
          </w:p>
        </w:tc>
        <w:tc>
          <w:tcPr>
            <w:tcW w:w="1202" w:type="dxa"/>
            <w:tcBorders>
              <w:top w:val="nil"/>
              <w:left w:val="nil"/>
              <w:bottom w:val="single" w:sz="8" w:space="0" w:color="auto"/>
              <w:right w:val="single" w:sz="8" w:space="0" w:color="auto"/>
            </w:tcBorders>
          </w:tcPr>
          <w:p w:rsidR="0058782B" w:rsidRPr="00F50B51" w:rsidRDefault="00F80EE7">
            <w:pPr>
              <w:pStyle w:val="a7"/>
              <w:spacing w:before="40" w:beforeAutospacing="0" w:after="40" w:afterAutospacing="0"/>
              <w:jc w:val="center"/>
              <w:rPr>
                <w:rFonts w:ascii="Times New Roman" w:hAnsi="Times New Roman" w:cs="Times New Roman"/>
                <w:sz w:val="18"/>
                <w:szCs w:val="18"/>
              </w:rPr>
            </w:pPr>
            <w:r w:rsidRPr="00F50B51">
              <w:rPr>
                <w:rFonts w:ascii="Times New Roman" w:hAnsi="Times New Roman" w:cs="Times New Roman"/>
                <w:sz w:val="18"/>
                <w:szCs w:val="18"/>
              </w:rPr>
              <w:t>600m³/h</w:t>
            </w:r>
          </w:p>
        </w:tc>
        <w:tc>
          <w:tcPr>
            <w:tcW w:w="1000"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8"/>
              <w:jc w:val="center"/>
              <w:rPr>
                <w:sz w:val="22"/>
                <w:szCs w:val="22"/>
              </w:rPr>
            </w:pPr>
            <w:r w:rsidRPr="00F50B51">
              <w:rPr>
                <w:rFonts w:hint="eastAsia"/>
                <w:sz w:val="18"/>
                <w:szCs w:val="18"/>
              </w:rPr>
              <w:t>正常运行</w:t>
            </w:r>
          </w:p>
        </w:tc>
        <w:tc>
          <w:tcPr>
            <w:tcW w:w="1231"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8"/>
              <w:jc w:val="center"/>
              <w:rPr>
                <w:sz w:val="22"/>
                <w:szCs w:val="22"/>
              </w:rPr>
            </w:pPr>
            <w:r w:rsidRPr="00F50B51">
              <w:rPr>
                <w:rFonts w:hint="eastAsia"/>
                <w:sz w:val="18"/>
                <w:szCs w:val="18"/>
              </w:rPr>
              <w:t>自运维</w:t>
            </w:r>
          </w:p>
        </w:tc>
      </w:tr>
      <w:tr w:rsidR="0058782B" w:rsidRPr="00F50B51">
        <w:trPr>
          <w:trHeight w:val="393"/>
        </w:trPr>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2073" w:type="dxa"/>
            <w:tcBorders>
              <w:top w:val="nil"/>
              <w:left w:val="single" w:sz="8" w:space="0" w:color="auto"/>
              <w:bottom w:val="single" w:sz="8" w:space="0" w:color="auto"/>
              <w:right w:val="single" w:sz="8" w:space="0" w:color="auto"/>
            </w:tcBorders>
          </w:tcPr>
          <w:p w:rsidR="0058782B" w:rsidRPr="00F50B51" w:rsidRDefault="00F80EE7">
            <w:pPr>
              <w:pStyle w:val="a7"/>
              <w:spacing w:before="79" w:beforeAutospacing="0" w:after="0" w:afterAutospacing="0"/>
              <w:ind w:left="107"/>
              <w:jc w:val="center"/>
              <w:rPr>
                <w:sz w:val="22"/>
                <w:szCs w:val="22"/>
              </w:rPr>
            </w:pPr>
            <w:r w:rsidRPr="00F50B51">
              <w:rPr>
                <w:rFonts w:hint="eastAsia"/>
                <w:sz w:val="18"/>
                <w:szCs w:val="18"/>
              </w:rPr>
              <w:t>除尘装置</w:t>
            </w:r>
          </w:p>
        </w:tc>
        <w:tc>
          <w:tcPr>
            <w:tcW w:w="1440"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7"/>
              <w:jc w:val="center"/>
              <w:rPr>
                <w:sz w:val="22"/>
                <w:szCs w:val="22"/>
              </w:rPr>
            </w:pPr>
            <w:r w:rsidRPr="00F50B51">
              <w:rPr>
                <w:rFonts w:ascii="Times New Roman" w:hAnsi="Times New Roman" w:cs="Times New Roman"/>
                <w:sz w:val="18"/>
                <w:szCs w:val="18"/>
              </w:rPr>
              <w:t>2012</w:t>
            </w:r>
          </w:p>
        </w:tc>
        <w:tc>
          <w:tcPr>
            <w:tcW w:w="1202" w:type="dxa"/>
            <w:tcBorders>
              <w:top w:val="nil"/>
              <w:left w:val="nil"/>
              <w:bottom w:val="single" w:sz="8" w:space="0" w:color="auto"/>
              <w:right w:val="single" w:sz="8" w:space="0" w:color="auto"/>
            </w:tcBorders>
          </w:tcPr>
          <w:p w:rsidR="0058782B" w:rsidRPr="00F50B51" w:rsidRDefault="00F80EE7">
            <w:pPr>
              <w:pStyle w:val="a7"/>
              <w:spacing w:before="40" w:beforeAutospacing="0" w:after="40" w:afterAutospacing="0"/>
              <w:jc w:val="center"/>
              <w:rPr>
                <w:rFonts w:ascii="Times New Roman" w:hAnsi="Times New Roman" w:cs="Times New Roman"/>
                <w:sz w:val="18"/>
                <w:szCs w:val="18"/>
              </w:rPr>
            </w:pPr>
            <w:r w:rsidRPr="00F50B51">
              <w:rPr>
                <w:rFonts w:ascii="Times New Roman" w:hAnsi="Times New Roman" w:cs="Times New Roman"/>
                <w:sz w:val="18"/>
                <w:szCs w:val="18"/>
              </w:rPr>
              <w:t>50000m³/h</w:t>
            </w:r>
          </w:p>
        </w:tc>
        <w:tc>
          <w:tcPr>
            <w:tcW w:w="1000"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8"/>
              <w:jc w:val="center"/>
              <w:rPr>
                <w:sz w:val="22"/>
                <w:szCs w:val="22"/>
              </w:rPr>
            </w:pPr>
            <w:r w:rsidRPr="00F50B51">
              <w:rPr>
                <w:rFonts w:hint="eastAsia"/>
                <w:sz w:val="18"/>
                <w:szCs w:val="18"/>
              </w:rPr>
              <w:t>正常运行</w:t>
            </w:r>
          </w:p>
        </w:tc>
        <w:tc>
          <w:tcPr>
            <w:tcW w:w="1231"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8"/>
              <w:jc w:val="center"/>
              <w:rPr>
                <w:sz w:val="22"/>
                <w:szCs w:val="22"/>
              </w:rPr>
            </w:pPr>
            <w:r w:rsidRPr="00F50B51">
              <w:rPr>
                <w:rFonts w:hint="eastAsia"/>
                <w:sz w:val="18"/>
                <w:szCs w:val="18"/>
              </w:rPr>
              <w:t>自运维</w:t>
            </w:r>
          </w:p>
        </w:tc>
      </w:tr>
      <w:tr w:rsidR="0058782B" w:rsidRPr="00F50B51">
        <w:trPr>
          <w:trHeight w:val="400"/>
        </w:trPr>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1251" w:type="dxa"/>
            <w:vMerge w:val="restart"/>
            <w:tcBorders>
              <w:top w:val="nil"/>
              <w:left w:val="single" w:sz="8" w:space="0" w:color="auto"/>
              <w:bottom w:val="single" w:sz="8" w:space="0" w:color="auto"/>
              <w:right w:val="single" w:sz="8" w:space="0" w:color="auto"/>
            </w:tcBorders>
            <w:vAlign w:val="center"/>
          </w:tcPr>
          <w:p w:rsidR="0058782B" w:rsidRPr="00F50B51" w:rsidRDefault="00F80EE7">
            <w:pPr>
              <w:pStyle w:val="a7"/>
              <w:spacing w:before="1" w:beforeAutospacing="0" w:after="0" w:afterAutospacing="0"/>
              <w:jc w:val="center"/>
              <w:rPr>
                <w:sz w:val="22"/>
                <w:szCs w:val="22"/>
              </w:rPr>
            </w:pPr>
            <w:r w:rsidRPr="00F50B51">
              <w:rPr>
                <w:rFonts w:hint="eastAsia"/>
                <w:sz w:val="18"/>
                <w:szCs w:val="18"/>
              </w:rPr>
              <w:t>固体废物</w:t>
            </w:r>
          </w:p>
        </w:tc>
        <w:tc>
          <w:tcPr>
            <w:tcW w:w="2073" w:type="dxa"/>
            <w:tcBorders>
              <w:top w:val="nil"/>
              <w:left w:val="nil"/>
              <w:bottom w:val="single" w:sz="8" w:space="0" w:color="auto"/>
              <w:right w:val="single" w:sz="8" w:space="0" w:color="auto"/>
            </w:tcBorders>
          </w:tcPr>
          <w:p w:rsidR="0058782B" w:rsidRPr="00F50B51" w:rsidRDefault="00F80EE7">
            <w:pPr>
              <w:pStyle w:val="a7"/>
              <w:spacing w:before="83" w:beforeAutospacing="0" w:after="0" w:afterAutospacing="0"/>
              <w:ind w:left="107"/>
              <w:jc w:val="center"/>
              <w:rPr>
                <w:sz w:val="22"/>
                <w:szCs w:val="22"/>
              </w:rPr>
            </w:pPr>
            <w:r w:rsidRPr="00F50B51">
              <w:rPr>
                <w:rFonts w:hint="eastAsia"/>
                <w:sz w:val="18"/>
                <w:szCs w:val="18"/>
              </w:rPr>
              <w:t>钨渣暂存库（产生点）</w:t>
            </w:r>
          </w:p>
        </w:tc>
        <w:tc>
          <w:tcPr>
            <w:tcW w:w="1440" w:type="dxa"/>
            <w:tcBorders>
              <w:top w:val="nil"/>
              <w:left w:val="nil"/>
              <w:bottom w:val="single" w:sz="8" w:space="0" w:color="auto"/>
              <w:right w:val="single" w:sz="8" w:space="0" w:color="auto"/>
            </w:tcBorders>
          </w:tcPr>
          <w:p w:rsidR="0058782B" w:rsidRPr="00F50B51" w:rsidRDefault="00F80EE7">
            <w:pPr>
              <w:pStyle w:val="a7"/>
              <w:spacing w:before="83" w:beforeAutospacing="0" w:after="0" w:afterAutospacing="0"/>
              <w:ind w:left="107"/>
              <w:jc w:val="center"/>
              <w:rPr>
                <w:sz w:val="22"/>
                <w:szCs w:val="22"/>
              </w:rPr>
            </w:pPr>
            <w:r w:rsidRPr="00F50B51">
              <w:rPr>
                <w:rFonts w:ascii="Times New Roman" w:hAnsi="Times New Roman" w:cs="Times New Roman"/>
                <w:sz w:val="18"/>
                <w:szCs w:val="18"/>
              </w:rPr>
              <w:t>1997</w:t>
            </w:r>
            <w:r w:rsidRPr="00F50B51">
              <w:rPr>
                <w:rFonts w:hint="eastAsia"/>
                <w:sz w:val="18"/>
                <w:szCs w:val="18"/>
              </w:rPr>
              <w:t>年</w:t>
            </w:r>
          </w:p>
        </w:tc>
        <w:tc>
          <w:tcPr>
            <w:tcW w:w="1202" w:type="dxa"/>
            <w:tcBorders>
              <w:top w:val="nil"/>
              <w:left w:val="nil"/>
              <w:bottom w:val="single" w:sz="8" w:space="0" w:color="auto"/>
              <w:right w:val="single" w:sz="8" w:space="0" w:color="auto"/>
            </w:tcBorders>
          </w:tcPr>
          <w:p w:rsidR="0058782B" w:rsidRPr="00F50B51" w:rsidRDefault="00F80EE7">
            <w:pPr>
              <w:pStyle w:val="a7"/>
              <w:spacing w:before="95" w:beforeAutospacing="0" w:after="0" w:afterAutospacing="0"/>
              <w:ind w:left="107"/>
              <w:jc w:val="center"/>
              <w:rPr>
                <w:sz w:val="22"/>
                <w:szCs w:val="22"/>
              </w:rPr>
            </w:pPr>
            <w:r w:rsidRPr="00F50B51">
              <w:rPr>
                <w:rFonts w:ascii="Times New Roman" w:hAnsi="Times New Roman" w:cs="Times New Roman"/>
                <w:sz w:val="18"/>
                <w:szCs w:val="18"/>
              </w:rPr>
              <w:t>100m²</w:t>
            </w:r>
          </w:p>
        </w:tc>
        <w:tc>
          <w:tcPr>
            <w:tcW w:w="1000" w:type="dxa"/>
            <w:tcBorders>
              <w:top w:val="nil"/>
              <w:left w:val="nil"/>
              <w:bottom w:val="single" w:sz="8" w:space="0" w:color="auto"/>
              <w:right w:val="single" w:sz="8" w:space="0" w:color="auto"/>
            </w:tcBorders>
          </w:tcPr>
          <w:p w:rsidR="0058782B" w:rsidRPr="00F50B51" w:rsidRDefault="00F80EE7">
            <w:pPr>
              <w:pStyle w:val="a7"/>
              <w:spacing w:before="83" w:beforeAutospacing="0" w:after="0" w:afterAutospacing="0"/>
              <w:ind w:left="108"/>
              <w:jc w:val="center"/>
              <w:rPr>
                <w:sz w:val="22"/>
                <w:szCs w:val="22"/>
              </w:rPr>
            </w:pPr>
            <w:r w:rsidRPr="00F50B51">
              <w:rPr>
                <w:rFonts w:hint="eastAsia"/>
                <w:sz w:val="18"/>
                <w:szCs w:val="18"/>
              </w:rPr>
              <w:t>正常运行</w:t>
            </w:r>
          </w:p>
        </w:tc>
        <w:tc>
          <w:tcPr>
            <w:tcW w:w="1231" w:type="dxa"/>
            <w:tcBorders>
              <w:top w:val="nil"/>
              <w:left w:val="nil"/>
              <w:bottom w:val="single" w:sz="8" w:space="0" w:color="auto"/>
              <w:right w:val="single" w:sz="8" w:space="0" w:color="auto"/>
            </w:tcBorders>
          </w:tcPr>
          <w:p w:rsidR="0058782B" w:rsidRPr="00F50B51" w:rsidRDefault="00F80EE7">
            <w:pPr>
              <w:pStyle w:val="a7"/>
              <w:spacing w:before="83" w:beforeAutospacing="0" w:after="0" w:afterAutospacing="0"/>
              <w:ind w:left="108"/>
              <w:jc w:val="center"/>
              <w:rPr>
                <w:sz w:val="22"/>
                <w:szCs w:val="22"/>
              </w:rPr>
            </w:pPr>
            <w:r w:rsidRPr="00F50B51">
              <w:rPr>
                <w:rFonts w:hint="eastAsia"/>
                <w:sz w:val="18"/>
                <w:szCs w:val="18"/>
              </w:rPr>
              <w:t>自运维</w:t>
            </w:r>
          </w:p>
        </w:tc>
      </w:tr>
      <w:tr w:rsidR="0058782B" w:rsidRPr="00F50B51">
        <w:trPr>
          <w:trHeight w:val="390"/>
        </w:trPr>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2073" w:type="dxa"/>
            <w:tcBorders>
              <w:top w:val="nil"/>
              <w:left w:val="single" w:sz="8" w:space="0" w:color="auto"/>
              <w:bottom w:val="single" w:sz="8" w:space="0" w:color="auto"/>
              <w:right w:val="single" w:sz="8" w:space="0" w:color="auto"/>
            </w:tcBorders>
          </w:tcPr>
          <w:p w:rsidR="0058782B" w:rsidRPr="00F50B51" w:rsidRDefault="00F80EE7">
            <w:pPr>
              <w:pStyle w:val="a7"/>
              <w:spacing w:before="79" w:beforeAutospacing="0" w:after="0" w:afterAutospacing="0"/>
              <w:ind w:left="107"/>
              <w:jc w:val="center"/>
              <w:rPr>
                <w:sz w:val="22"/>
                <w:szCs w:val="22"/>
              </w:rPr>
            </w:pPr>
            <w:r w:rsidRPr="00F50B51">
              <w:rPr>
                <w:rFonts w:hint="eastAsia"/>
                <w:sz w:val="18"/>
                <w:szCs w:val="18"/>
              </w:rPr>
              <w:t>钨冶炼渣暂存库</w:t>
            </w:r>
          </w:p>
        </w:tc>
        <w:tc>
          <w:tcPr>
            <w:tcW w:w="1440"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7"/>
              <w:jc w:val="center"/>
              <w:rPr>
                <w:sz w:val="22"/>
                <w:szCs w:val="22"/>
              </w:rPr>
            </w:pPr>
            <w:r w:rsidRPr="00F50B51">
              <w:rPr>
                <w:rFonts w:ascii="Times New Roman" w:hAnsi="Times New Roman" w:cs="Times New Roman"/>
                <w:sz w:val="18"/>
                <w:szCs w:val="18"/>
              </w:rPr>
              <w:t>2016</w:t>
            </w:r>
            <w:r w:rsidRPr="00F50B51">
              <w:rPr>
                <w:rFonts w:hint="eastAsia"/>
                <w:sz w:val="18"/>
                <w:szCs w:val="18"/>
              </w:rPr>
              <w:t>年</w:t>
            </w:r>
          </w:p>
        </w:tc>
        <w:tc>
          <w:tcPr>
            <w:tcW w:w="1202"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7"/>
              <w:jc w:val="center"/>
              <w:rPr>
                <w:sz w:val="22"/>
                <w:szCs w:val="22"/>
              </w:rPr>
            </w:pPr>
            <w:r w:rsidRPr="00F50B51">
              <w:rPr>
                <w:rFonts w:ascii="Times New Roman" w:hAnsi="Times New Roman" w:cs="Times New Roman"/>
                <w:sz w:val="18"/>
                <w:szCs w:val="18"/>
              </w:rPr>
              <w:t xml:space="preserve">2,000 </w:t>
            </w:r>
            <w:r w:rsidRPr="00F50B51">
              <w:rPr>
                <w:rFonts w:hint="eastAsia"/>
                <w:sz w:val="18"/>
                <w:szCs w:val="18"/>
              </w:rPr>
              <w:t>㎡</w:t>
            </w:r>
          </w:p>
        </w:tc>
        <w:tc>
          <w:tcPr>
            <w:tcW w:w="1000"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8"/>
              <w:jc w:val="center"/>
              <w:rPr>
                <w:sz w:val="22"/>
                <w:szCs w:val="22"/>
              </w:rPr>
            </w:pPr>
            <w:r w:rsidRPr="00F50B51">
              <w:rPr>
                <w:rFonts w:hint="eastAsia"/>
                <w:sz w:val="18"/>
                <w:szCs w:val="18"/>
              </w:rPr>
              <w:t>正常运行</w:t>
            </w:r>
          </w:p>
        </w:tc>
        <w:tc>
          <w:tcPr>
            <w:tcW w:w="1231" w:type="dxa"/>
            <w:tcBorders>
              <w:top w:val="nil"/>
              <w:left w:val="nil"/>
              <w:bottom w:val="single" w:sz="8" w:space="0" w:color="auto"/>
              <w:right w:val="single" w:sz="8" w:space="0" w:color="auto"/>
            </w:tcBorders>
          </w:tcPr>
          <w:p w:rsidR="0058782B" w:rsidRPr="00F50B51" w:rsidRDefault="00F80EE7">
            <w:pPr>
              <w:pStyle w:val="a7"/>
              <w:spacing w:before="79" w:beforeAutospacing="0" w:after="0" w:afterAutospacing="0"/>
              <w:ind w:left="109"/>
              <w:jc w:val="center"/>
              <w:rPr>
                <w:sz w:val="22"/>
                <w:szCs w:val="22"/>
              </w:rPr>
            </w:pPr>
            <w:r w:rsidRPr="00F50B51">
              <w:rPr>
                <w:rFonts w:hint="eastAsia"/>
                <w:sz w:val="18"/>
                <w:szCs w:val="18"/>
              </w:rPr>
              <w:t>自运维</w:t>
            </w:r>
          </w:p>
        </w:tc>
      </w:tr>
      <w:tr w:rsidR="0058782B" w:rsidRPr="00F50B51">
        <w:trPr>
          <w:trHeight w:val="393"/>
        </w:trPr>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2073" w:type="dxa"/>
            <w:tcBorders>
              <w:top w:val="nil"/>
              <w:left w:val="single" w:sz="8" w:space="0" w:color="auto"/>
              <w:bottom w:val="single" w:sz="8" w:space="0" w:color="auto"/>
              <w:right w:val="single" w:sz="8" w:space="0" w:color="auto"/>
            </w:tcBorders>
          </w:tcPr>
          <w:p w:rsidR="0058782B" w:rsidRPr="00F50B51" w:rsidRDefault="00F80EE7">
            <w:pPr>
              <w:pStyle w:val="a7"/>
              <w:spacing w:before="81" w:beforeAutospacing="0" w:after="0" w:afterAutospacing="0"/>
              <w:ind w:left="107"/>
              <w:jc w:val="center"/>
              <w:rPr>
                <w:sz w:val="22"/>
                <w:szCs w:val="22"/>
              </w:rPr>
            </w:pPr>
            <w:r w:rsidRPr="00F50B51">
              <w:rPr>
                <w:rFonts w:hint="eastAsia"/>
                <w:sz w:val="18"/>
                <w:szCs w:val="18"/>
              </w:rPr>
              <w:t>危废暂存库</w:t>
            </w:r>
          </w:p>
        </w:tc>
        <w:tc>
          <w:tcPr>
            <w:tcW w:w="1440" w:type="dxa"/>
            <w:tcBorders>
              <w:top w:val="nil"/>
              <w:left w:val="nil"/>
              <w:bottom w:val="single" w:sz="8" w:space="0" w:color="auto"/>
              <w:right w:val="single" w:sz="8" w:space="0" w:color="auto"/>
            </w:tcBorders>
          </w:tcPr>
          <w:p w:rsidR="0058782B" w:rsidRPr="00F50B51" w:rsidRDefault="00F80EE7">
            <w:pPr>
              <w:pStyle w:val="a7"/>
              <w:spacing w:before="81" w:beforeAutospacing="0" w:after="0" w:afterAutospacing="0"/>
              <w:ind w:left="107"/>
              <w:jc w:val="center"/>
              <w:rPr>
                <w:sz w:val="22"/>
                <w:szCs w:val="22"/>
              </w:rPr>
            </w:pPr>
            <w:r w:rsidRPr="00F50B51">
              <w:rPr>
                <w:rFonts w:ascii="Times New Roman" w:hAnsi="Times New Roman" w:cs="Times New Roman"/>
                <w:sz w:val="18"/>
                <w:szCs w:val="18"/>
              </w:rPr>
              <w:t>1997</w:t>
            </w:r>
            <w:r w:rsidRPr="00F50B51">
              <w:rPr>
                <w:rFonts w:hint="eastAsia"/>
                <w:sz w:val="18"/>
                <w:szCs w:val="18"/>
              </w:rPr>
              <w:t>年</w:t>
            </w:r>
          </w:p>
        </w:tc>
        <w:tc>
          <w:tcPr>
            <w:tcW w:w="1202" w:type="dxa"/>
            <w:tcBorders>
              <w:top w:val="nil"/>
              <w:left w:val="nil"/>
              <w:bottom w:val="single" w:sz="8" w:space="0" w:color="auto"/>
              <w:right w:val="single" w:sz="8" w:space="0" w:color="auto"/>
            </w:tcBorders>
          </w:tcPr>
          <w:p w:rsidR="0058782B" w:rsidRPr="00F50B51" w:rsidRDefault="00F80EE7">
            <w:pPr>
              <w:pStyle w:val="a7"/>
              <w:spacing w:before="81" w:beforeAutospacing="0" w:after="0" w:afterAutospacing="0"/>
              <w:ind w:left="107"/>
              <w:jc w:val="center"/>
              <w:rPr>
                <w:sz w:val="22"/>
                <w:szCs w:val="22"/>
              </w:rPr>
            </w:pPr>
            <w:r w:rsidRPr="00F50B51">
              <w:rPr>
                <w:rFonts w:ascii="Times New Roman" w:hAnsi="Times New Roman" w:cs="Times New Roman"/>
                <w:sz w:val="18"/>
                <w:szCs w:val="18"/>
              </w:rPr>
              <w:t>100</w:t>
            </w:r>
            <w:r w:rsidRPr="00F50B51">
              <w:rPr>
                <w:rFonts w:hint="eastAsia"/>
                <w:sz w:val="18"/>
                <w:szCs w:val="18"/>
              </w:rPr>
              <w:t>㎡</w:t>
            </w:r>
          </w:p>
        </w:tc>
        <w:tc>
          <w:tcPr>
            <w:tcW w:w="1000" w:type="dxa"/>
            <w:tcBorders>
              <w:top w:val="nil"/>
              <w:left w:val="nil"/>
              <w:bottom w:val="single" w:sz="8" w:space="0" w:color="auto"/>
              <w:right w:val="single" w:sz="8" w:space="0" w:color="auto"/>
            </w:tcBorders>
          </w:tcPr>
          <w:p w:rsidR="0058782B" w:rsidRPr="00F50B51" w:rsidRDefault="00F80EE7">
            <w:pPr>
              <w:pStyle w:val="a7"/>
              <w:spacing w:before="81" w:beforeAutospacing="0" w:after="0" w:afterAutospacing="0"/>
              <w:ind w:left="108"/>
              <w:jc w:val="center"/>
              <w:rPr>
                <w:sz w:val="22"/>
                <w:szCs w:val="22"/>
              </w:rPr>
            </w:pPr>
            <w:r w:rsidRPr="00F50B51">
              <w:rPr>
                <w:rFonts w:hint="eastAsia"/>
                <w:sz w:val="18"/>
                <w:szCs w:val="18"/>
              </w:rPr>
              <w:t>正常运行</w:t>
            </w:r>
          </w:p>
        </w:tc>
        <w:tc>
          <w:tcPr>
            <w:tcW w:w="1231" w:type="dxa"/>
            <w:tcBorders>
              <w:top w:val="nil"/>
              <w:left w:val="nil"/>
              <w:bottom w:val="single" w:sz="8" w:space="0" w:color="auto"/>
              <w:right w:val="single" w:sz="8" w:space="0" w:color="auto"/>
            </w:tcBorders>
          </w:tcPr>
          <w:p w:rsidR="0058782B" w:rsidRPr="00F50B51" w:rsidRDefault="00F80EE7">
            <w:pPr>
              <w:pStyle w:val="a7"/>
              <w:spacing w:before="81" w:beforeAutospacing="0" w:after="0" w:afterAutospacing="0"/>
              <w:ind w:left="108"/>
              <w:jc w:val="center"/>
              <w:rPr>
                <w:sz w:val="22"/>
                <w:szCs w:val="22"/>
              </w:rPr>
            </w:pPr>
            <w:r w:rsidRPr="00F50B51">
              <w:rPr>
                <w:rFonts w:hint="eastAsia"/>
                <w:sz w:val="18"/>
                <w:szCs w:val="18"/>
              </w:rPr>
              <w:t>自运维</w:t>
            </w:r>
          </w:p>
        </w:tc>
      </w:tr>
      <w:tr w:rsidR="0058782B" w:rsidRPr="00F50B51">
        <w:trPr>
          <w:trHeight w:val="402"/>
        </w:trPr>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2073" w:type="dxa"/>
            <w:tcBorders>
              <w:top w:val="nil"/>
              <w:left w:val="single" w:sz="8" w:space="0" w:color="auto"/>
              <w:bottom w:val="single" w:sz="8" w:space="0" w:color="auto"/>
              <w:right w:val="single" w:sz="8" w:space="0" w:color="auto"/>
            </w:tcBorders>
          </w:tcPr>
          <w:p w:rsidR="0058782B" w:rsidRPr="00F50B51" w:rsidRDefault="00F80EE7">
            <w:pPr>
              <w:pStyle w:val="a7"/>
              <w:spacing w:before="84" w:beforeAutospacing="0" w:after="0" w:afterAutospacing="0"/>
              <w:ind w:left="107"/>
              <w:jc w:val="center"/>
              <w:rPr>
                <w:sz w:val="22"/>
                <w:szCs w:val="22"/>
              </w:rPr>
            </w:pPr>
            <w:r w:rsidRPr="00F50B51">
              <w:rPr>
                <w:rFonts w:hint="eastAsia"/>
                <w:sz w:val="18"/>
                <w:szCs w:val="18"/>
              </w:rPr>
              <w:t>一般固废储存区</w:t>
            </w:r>
          </w:p>
        </w:tc>
        <w:tc>
          <w:tcPr>
            <w:tcW w:w="1440" w:type="dxa"/>
            <w:tcBorders>
              <w:top w:val="nil"/>
              <w:left w:val="nil"/>
              <w:bottom w:val="single" w:sz="8" w:space="0" w:color="auto"/>
              <w:right w:val="single" w:sz="8" w:space="0" w:color="auto"/>
            </w:tcBorders>
          </w:tcPr>
          <w:p w:rsidR="0058782B" w:rsidRPr="00F50B51" w:rsidRDefault="00F80EE7">
            <w:pPr>
              <w:pStyle w:val="a7"/>
              <w:spacing w:before="84" w:beforeAutospacing="0" w:after="0" w:afterAutospacing="0"/>
              <w:ind w:left="107"/>
              <w:jc w:val="center"/>
              <w:rPr>
                <w:sz w:val="22"/>
                <w:szCs w:val="22"/>
              </w:rPr>
            </w:pPr>
            <w:r w:rsidRPr="00F50B51">
              <w:rPr>
                <w:rFonts w:ascii="Times New Roman" w:hAnsi="Times New Roman" w:cs="Times New Roman"/>
                <w:sz w:val="18"/>
                <w:szCs w:val="18"/>
              </w:rPr>
              <w:t>1997</w:t>
            </w:r>
            <w:r w:rsidRPr="00F50B51">
              <w:rPr>
                <w:rFonts w:hint="eastAsia"/>
                <w:sz w:val="18"/>
                <w:szCs w:val="18"/>
              </w:rPr>
              <w:t>年</w:t>
            </w:r>
          </w:p>
        </w:tc>
        <w:tc>
          <w:tcPr>
            <w:tcW w:w="1202" w:type="dxa"/>
            <w:tcBorders>
              <w:top w:val="nil"/>
              <w:left w:val="nil"/>
              <w:bottom w:val="single" w:sz="8" w:space="0" w:color="auto"/>
              <w:right w:val="single" w:sz="8" w:space="0" w:color="auto"/>
            </w:tcBorders>
          </w:tcPr>
          <w:p w:rsidR="0058782B" w:rsidRPr="00F50B51" w:rsidRDefault="00F80EE7">
            <w:pPr>
              <w:pStyle w:val="a7"/>
              <w:spacing w:before="95" w:beforeAutospacing="0" w:after="0" w:afterAutospacing="0"/>
              <w:ind w:left="107"/>
              <w:jc w:val="center"/>
              <w:rPr>
                <w:sz w:val="22"/>
                <w:szCs w:val="22"/>
              </w:rPr>
            </w:pPr>
            <w:r w:rsidRPr="00F50B51">
              <w:rPr>
                <w:rFonts w:ascii="Times New Roman" w:hAnsi="Times New Roman" w:cs="Times New Roman"/>
                <w:sz w:val="18"/>
                <w:szCs w:val="18"/>
              </w:rPr>
              <w:t>200m²</w:t>
            </w:r>
          </w:p>
        </w:tc>
        <w:tc>
          <w:tcPr>
            <w:tcW w:w="1000" w:type="dxa"/>
            <w:tcBorders>
              <w:top w:val="nil"/>
              <w:left w:val="nil"/>
              <w:bottom w:val="single" w:sz="8" w:space="0" w:color="auto"/>
              <w:right w:val="single" w:sz="8" w:space="0" w:color="auto"/>
            </w:tcBorders>
          </w:tcPr>
          <w:p w:rsidR="0058782B" w:rsidRPr="00F50B51" w:rsidRDefault="00F80EE7">
            <w:pPr>
              <w:pStyle w:val="a7"/>
              <w:spacing w:before="84" w:beforeAutospacing="0" w:after="0" w:afterAutospacing="0"/>
              <w:ind w:left="108"/>
              <w:jc w:val="center"/>
              <w:rPr>
                <w:sz w:val="22"/>
                <w:szCs w:val="22"/>
              </w:rPr>
            </w:pPr>
            <w:r w:rsidRPr="00F50B51">
              <w:rPr>
                <w:rFonts w:hint="eastAsia"/>
                <w:sz w:val="18"/>
                <w:szCs w:val="18"/>
              </w:rPr>
              <w:t>正常运行</w:t>
            </w:r>
          </w:p>
        </w:tc>
        <w:tc>
          <w:tcPr>
            <w:tcW w:w="1231" w:type="dxa"/>
            <w:tcBorders>
              <w:top w:val="nil"/>
              <w:left w:val="nil"/>
              <w:bottom w:val="single" w:sz="8" w:space="0" w:color="auto"/>
              <w:right w:val="single" w:sz="8" w:space="0" w:color="auto"/>
            </w:tcBorders>
          </w:tcPr>
          <w:p w:rsidR="0058782B" w:rsidRPr="00F50B51" w:rsidRDefault="00F80EE7">
            <w:pPr>
              <w:pStyle w:val="a7"/>
              <w:spacing w:before="84" w:beforeAutospacing="0" w:after="0" w:afterAutospacing="0"/>
              <w:ind w:left="108"/>
              <w:jc w:val="center"/>
              <w:rPr>
                <w:sz w:val="22"/>
                <w:szCs w:val="22"/>
              </w:rPr>
            </w:pPr>
            <w:r w:rsidRPr="00F50B51">
              <w:rPr>
                <w:rFonts w:hint="eastAsia"/>
                <w:sz w:val="18"/>
                <w:szCs w:val="18"/>
              </w:rPr>
              <w:t>自运维</w:t>
            </w:r>
          </w:p>
        </w:tc>
      </w:tr>
      <w:tr w:rsidR="0058782B" w:rsidRPr="00F50B51">
        <w:trPr>
          <w:trHeight w:val="702"/>
        </w:trPr>
        <w:tc>
          <w:tcPr>
            <w:tcW w:w="0" w:type="auto"/>
            <w:vMerge/>
            <w:tcBorders>
              <w:top w:val="nil"/>
              <w:left w:val="single" w:sz="8" w:space="0" w:color="auto"/>
              <w:bottom w:val="single" w:sz="8" w:space="0" w:color="auto"/>
              <w:right w:val="single" w:sz="8" w:space="0" w:color="auto"/>
            </w:tcBorders>
            <w:vAlign w:val="center"/>
          </w:tcPr>
          <w:p w:rsidR="0058782B" w:rsidRPr="00F50B51" w:rsidRDefault="0058782B">
            <w:pPr>
              <w:rPr>
                <w:rFonts w:ascii="宋体" w:eastAsia="宋体" w:hAnsi="宋体" w:cs="宋体"/>
                <w:sz w:val="22"/>
              </w:rPr>
            </w:pPr>
          </w:p>
        </w:tc>
        <w:tc>
          <w:tcPr>
            <w:tcW w:w="1251" w:type="dxa"/>
            <w:tcBorders>
              <w:top w:val="nil"/>
              <w:left w:val="single" w:sz="8" w:space="0" w:color="auto"/>
              <w:bottom w:val="single" w:sz="8" w:space="0" w:color="auto"/>
              <w:right w:val="single" w:sz="8" w:space="0" w:color="auto"/>
            </w:tcBorders>
            <w:vAlign w:val="center"/>
          </w:tcPr>
          <w:p w:rsidR="0058782B" w:rsidRPr="00F50B51" w:rsidRDefault="00F80EE7">
            <w:pPr>
              <w:pStyle w:val="a7"/>
              <w:spacing w:before="1" w:beforeAutospacing="0" w:after="0" w:afterAutospacing="0"/>
              <w:jc w:val="center"/>
              <w:rPr>
                <w:sz w:val="22"/>
                <w:szCs w:val="22"/>
              </w:rPr>
            </w:pPr>
            <w:r w:rsidRPr="00F50B51">
              <w:rPr>
                <w:rFonts w:hint="eastAsia"/>
                <w:sz w:val="18"/>
                <w:szCs w:val="18"/>
              </w:rPr>
              <w:t>噪声</w:t>
            </w:r>
          </w:p>
        </w:tc>
        <w:tc>
          <w:tcPr>
            <w:tcW w:w="2073" w:type="dxa"/>
            <w:tcBorders>
              <w:top w:val="nil"/>
              <w:left w:val="nil"/>
              <w:bottom w:val="single" w:sz="8" w:space="0" w:color="auto"/>
              <w:right w:val="single" w:sz="8" w:space="0" w:color="auto"/>
            </w:tcBorders>
          </w:tcPr>
          <w:p w:rsidR="0058782B" w:rsidRPr="00F50B51" w:rsidRDefault="00F80EE7">
            <w:pPr>
              <w:pStyle w:val="a7"/>
              <w:spacing w:before="9" w:beforeAutospacing="0" w:after="0" w:afterAutospacing="0" w:line="312" w:lineRule="atLeast"/>
              <w:ind w:left="107" w:right="168"/>
              <w:jc w:val="center"/>
              <w:rPr>
                <w:sz w:val="22"/>
                <w:szCs w:val="22"/>
              </w:rPr>
            </w:pPr>
            <w:r w:rsidRPr="00F50B51">
              <w:rPr>
                <w:rFonts w:hint="eastAsia"/>
                <w:sz w:val="18"/>
                <w:szCs w:val="18"/>
              </w:rPr>
              <w:t>设备采取隔音、减振、耳塞等降噪措施</w:t>
            </w:r>
          </w:p>
        </w:tc>
        <w:tc>
          <w:tcPr>
            <w:tcW w:w="1440" w:type="dxa"/>
            <w:tcBorders>
              <w:top w:val="nil"/>
              <w:left w:val="nil"/>
              <w:bottom w:val="single" w:sz="8" w:space="0" w:color="auto"/>
              <w:right w:val="single" w:sz="8" w:space="0" w:color="auto"/>
            </w:tcBorders>
            <w:vAlign w:val="center"/>
          </w:tcPr>
          <w:p w:rsidR="0058782B" w:rsidRPr="00F50B51" w:rsidRDefault="00F80EE7">
            <w:pPr>
              <w:pStyle w:val="a7"/>
              <w:spacing w:before="1" w:beforeAutospacing="0" w:after="0" w:afterAutospacing="0"/>
              <w:jc w:val="center"/>
              <w:rPr>
                <w:sz w:val="22"/>
                <w:szCs w:val="22"/>
              </w:rPr>
            </w:pPr>
            <w:r w:rsidRPr="00F50B51">
              <w:rPr>
                <w:rFonts w:ascii="Times New Roman" w:hAnsi="Times New Roman" w:cs="Times New Roman"/>
                <w:sz w:val="18"/>
                <w:szCs w:val="18"/>
              </w:rPr>
              <w:t>1997</w:t>
            </w:r>
            <w:r w:rsidRPr="00F50B51">
              <w:rPr>
                <w:rFonts w:hint="eastAsia"/>
                <w:sz w:val="18"/>
                <w:szCs w:val="18"/>
              </w:rPr>
              <w:t>年</w:t>
            </w:r>
          </w:p>
        </w:tc>
        <w:tc>
          <w:tcPr>
            <w:tcW w:w="1202" w:type="dxa"/>
            <w:tcBorders>
              <w:top w:val="nil"/>
              <w:left w:val="nil"/>
              <w:bottom w:val="single" w:sz="8" w:space="0" w:color="auto"/>
              <w:right w:val="single" w:sz="8" w:space="0" w:color="auto"/>
            </w:tcBorders>
            <w:vAlign w:val="center"/>
          </w:tcPr>
          <w:p w:rsidR="0058782B" w:rsidRPr="00F50B51" w:rsidRDefault="00F80EE7">
            <w:pPr>
              <w:pStyle w:val="a7"/>
              <w:spacing w:before="1" w:beforeAutospacing="0" w:after="0" w:afterAutospacing="0"/>
              <w:jc w:val="center"/>
              <w:rPr>
                <w:sz w:val="22"/>
                <w:szCs w:val="22"/>
              </w:rPr>
            </w:pPr>
            <w:r w:rsidRPr="00F50B51">
              <w:rPr>
                <w:rFonts w:hint="eastAsia"/>
                <w:sz w:val="18"/>
                <w:szCs w:val="18"/>
              </w:rPr>
              <w:t>＜</w:t>
            </w:r>
            <w:r w:rsidRPr="00F50B51">
              <w:rPr>
                <w:rFonts w:ascii="Times New Roman" w:hAnsi="Times New Roman" w:cs="Times New Roman"/>
                <w:sz w:val="18"/>
                <w:szCs w:val="18"/>
              </w:rPr>
              <w:t>70dB</w:t>
            </w:r>
          </w:p>
        </w:tc>
        <w:tc>
          <w:tcPr>
            <w:tcW w:w="1000" w:type="dxa"/>
            <w:tcBorders>
              <w:top w:val="nil"/>
              <w:left w:val="nil"/>
              <w:bottom w:val="single" w:sz="8" w:space="0" w:color="auto"/>
              <w:right w:val="single" w:sz="8" w:space="0" w:color="auto"/>
            </w:tcBorders>
            <w:vAlign w:val="center"/>
          </w:tcPr>
          <w:p w:rsidR="0058782B" w:rsidRPr="00F50B51" w:rsidRDefault="00F80EE7">
            <w:pPr>
              <w:pStyle w:val="a7"/>
              <w:spacing w:before="1" w:beforeAutospacing="0" w:after="0" w:afterAutospacing="0"/>
              <w:jc w:val="center"/>
              <w:rPr>
                <w:sz w:val="22"/>
                <w:szCs w:val="22"/>
              </w:rPr>
            </w:pPr>
            <w:r w:rsidRPr="00F50B51">
              <w:rPr>
                <w:rFonts w:hint="eastAsia"/>
                <w:sz w:val="18"/>
                <w:szCs w:val="18"/>
              </w:rPr>
              <w:t>正常运行</w:t>
            </w:r>
          </w:p>
        </w:tc>
        <w:tc>
          <w:tcPr>
            <w:tcW w:w="1231" w:type="dxa"/>
            <w:tcBorders>
              <w:top w:val="nil"/>
              <w:left w:val="nil"/>
              <w:bottom w:val="single" w:sz="8" w:space="0" w:color="auto"/>
              <w:right w:val="single" w:sz="8" w:space="0" w:color="auto"/>
            </w:tcBorders>
            <w:vAlign w:val="center"/>
          </w:tcPr>
          <w:p w:rsidR="0058782B" w:rsidRPr="00F50B51" w:rsidRDefault="00F80EE7">
            <w:pPr>
              <w:pStyle w:val="a7"/>
              <w:spacing w:before="1" w:beforeAutospacing="0" w:after="0" w:afterAutospacing="0"/>
              <w:jc w:val="center"/>
              <w:rPr>
                <w:sz w:val="22"/>
                <w:szCs w:val="22"/>
              </w:rPr>
            </w:pPr>
            <w:r w:rsidRPr="00F50B51">
              <w:rPr>
                <w:rFonts w:hint="eastAsia"/>
                <w:sz w:val="18"/>
                <w:szCs w:val="18"/>
              </w:rPr>
              <w:t> </w:t>
            </w:r>
            <w:r w:rsidRPr="00F50B51">
              <w:rPr>
                <w:rFonts w:hint="eastAsia"/>
                <w:sz w:val="18"/>
                <w:szCs w:val="18"/>
              </w:rPr>
              <w:t>自运维</w:t>
            </w:r>
          </w:p>
        </w:tc>
      </w:tr>
    </w:tbl>
    <w:p w:rsidR="0058782B" w:rsidRPr="00F50B51" w:rsidRDefault="0058782B">
      <w:pPr>
        <w:rPr>
          <w:sz w:val="24"/>
          <w:szCs w:val="24"/>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建设项目环境影响评价及其他环境保护行政许可情况</w:t>
      </w:r>
    </w:p>
    <w:p w:rsidR="0058782B" w:rsidRPr="00F50B51" w:rsidRDefault="00F80EE7">
      <w:pPr>
        <w:pStyle w:val="a7"/>
        <w:rPr>
          <w:sz w:val="18"/>
          <w:szCs w:val="18"/>
        </w:rPr>
      </w:pPr>
      <w:r w:rsidRPr="00F50B51">
        <w:rPr>
          <w:rFonts w:hint="eastAsia"/>
          <w:spacing w:val="-6"/>
          <w:sz w:val="18"/>
          <w:szCs w:val="18"/>
        </w:rPr>
        <w:t>公司所有新、改、扩建项目均已经过投资主管部门的核准或备案，符合国家产业政策总体</w:t>
      </w:r>
      <w:r w:rsidRPr="00F50B51">
        <w:rPr>
          <w:rFonts w:hint="eastAsia"/>
          <w:spacing w:val="-7"/>
          <w:sz w:val="18"/>
          <w:szCs w:val="18"/>
        </w:rPr>
        <w:t>规划的要求，并严格执行了建设项目环保</w:t>
      </w:r>
      <w:r w:rsidRPr="00F50B51">
        <w:rPr>
          <w:rFonts w:hint="eastAsia"/>
          <w:sz w:val="18"/>
          <w:szCs w:val="18"/>
        </w:rPr>
        <w:t>“</w:t>
      </w:r>
      <w:r w:rsidRPr="00F50B51">
        <w:rPr>
          <w:rFonts w:hint="eastAsia"/>
          <w:spacing w:val="-2"/>
          <w:sz w:val="18"/>
          <w:szCs w:val="18"/>
        </w:rPr>
        <w:t>三同时</w:t>
      </w:r>
      <w:r w:rsidRPr="00F50B51">
        <w:rPr>
          <w:rFonts w:hint="eastAsia"/>
          <w:spacing w:val="-3"/>
          <w:sz w:val="18"/>
          <w:szCs w:val="18"/>
        </w:rPr>
        <w:t>”</w:t>
      </w:r>
      <w:r w:rsidRPr="00F50B51">
        <w:rPr>
          <w:rFonts w:hint="eastAsia"/>
          <w:spacing w:val="-10"/>
          <w:sz w:val="18"/>
          <w:szCs w:val="18"/>
        </w:rPr>
        <w:t>手续，开展了相关环境影响评价。公司通过了</w:t>
      </w:r>
      <w:r w:rsidRPr="00F50B51">
        <w:rPr>
          <w:rFonts w:hint="eastAsia"/>
          <w:spacing w:val="-10"/>
          <w:sz w:val="18"/>
          <w:szCs w:val="18"/>
        </w:rPr>
        <w:t xml:space="preserve"> </w:t>
      </w:r>
      <w:r w:rsidRPr="00F50B51">
        <w:rPr>
          <w:rFonts w:hint="eastAsia"/>
          <w:sz w:val="18"/>
          <w:szCs w:val="18"/>
        </w:rPr>
        <w:t>ISO14001</w:t>
      </w:r>
      <w:r w:rsidRPr="00F50B51">
        <w:rPr>
          <w:rFonts w:hint="eastAsia"/>
          <w:spacing w:val="-6"/>
          <w:sz w:val="18"/>
          <w:szCs w:val="18"/>
        </w:rPr>
        <w:t>环境管理体系认证，建立健全了各项环保制度和环境突发事件应急预案；公司《排放污染污许可证》</w:t>
      </w:r>
      <w:r w:rsidRPr="00F50B51">
        <w:rPr>
          <w:rFonts w:hint="eastAsia"/>
          <w:sz w:val="18"/>
          <w:szCs w:val="18"/>
        </w:rPr>
        <w:t>证号：</w:t>
      </w:r>
      <w:r w:rsidRPr="00F50B51">
        <w:rPr>
          <w:rFonts w:hint="eastAsia"/>
          <w:sz w:val="18"/>
          <w:szCs w:val="18"/>
        </w:rPr>
        <w:t>914451002823643033001V</w:t>
      </w:r>
      <w:r w:rsidRPr="00F50B51">
        <w:rPr>
          <w:rFonts w:hint="eastAsia"/>
          <w:spacing w:val="-3"/>
          <w:sz w:val="18"/>
          <w:szCs w:val="18"/>
        </w:rPr>
        <w:t>；各项污染物达标排放，积极履行了企业义务，承担了社会责任。</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突发环境事件应急预案</w:t>
      </w:r>
    </w:p>
    <w:p w:rsidR="0058782B" w:rsidRPr="00F50B51" w:rsidRDefault="00F80EE7">
      <w:pPr>
        <w:pStyle w:val="a7"/>
        <w:rPr>
          <w:sz w:val="18"/>
          <w:szCs w:val="18"/>
        </w:rPr>
      </w:pPr>
      <w:r w:rsidRPr="00F50B51">
        <w:rPr>
          <w:rFonts w:hint="eastAsia"/>
          <w:spacing w:val="-6"/>
          <w:sz w:val="18"/>
          <w:szCs w:val="18"/>
        </w:rPr>
        <w:t>公司根据《环境保护法》《突发事件应对法》等法律法规和《突发事件应急预案管理办法》等文件要求，编制了《突发环境事件应急预案》，并已向当地环境主管部门进行了备案。公司每年定期组织开展相关应急演练，不断提高公司突发环境事件应对能力。</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环境自</w:t>
      </w:r>
      <w:r w:rsidRPr="00F50B51">
        <w:rPr>
          <w:rFonts w:ascii="宋体" w:eastAsia="宋体" w:hAnsi="宋体" w:cs="宋体"/>
          <w:sz w:val="18"/>
          <w:szCs w:val="18"/>
        </w:rPr>
        <w:t>行监测方案</w:t>
      </w:r>
    </w:p>
    <w:p w:rsidR="0058782B" w:rsidRPr="00F50B51" w:rsidRDefault="00F80EE7">
      <w:pPr>
        <w:pStyle w:val="a7"/>
        <w:rPr>
          <w:sz w:val="18"/>
          <w:szCs w:val="18"/>
        </w:rPr>
      </w:pPr>
      <w:r w:rsidRPr="00F50B51">
        <w:rPr>
          <w:rFonts w:hint="eastAsia"/>
          <w:spacing w:val="-6"/>
          <w:sz w:val="18"/>
          <w:szCs w:val="18"/>
        </w:rPr>
        <w:t>公司本部根据《排污单位自行监测技术指南总则》（</w:t>
      </w:r>
      <w:r w:rsidRPr="00F50B51">
        <w:rPr>
          <w:rFonts w:hint="eastAsia"/>
          <w:spacing w:val="-6"/>
          <w:sz w:val="18"/>
          <w:szCs w:val="18"/>
        </w:rPr>
        <w:t>HJ819-2017</w:t>
      </w:r>
      <w:r w:rsidRPr="00F50B51">
        <w:rPr>
          <w:rFonts w:hint="eastAsia"/>
          <w:spacing w:val="-6"/>
          <w:sz w:val="18"/>
          <w:szCs w:val="18"/>
        </w:rPr>
        <w:t>）、《排污许可证申请与核发技术规范稀有稀土金属冶炼》（</w:t>
      </w:r>
      <w:r w:rsidRPr="00F50B51">
        <w:rPr>
          <w:rFonts w:hint="eastAsia"/>
          <w:spacing w:val="-6"/>
          <w:sz w:val="18"/>
          <w:szCs w:val="18"/>
        </w:rPr>
        <w:t>HJ1125-2020</w:t>
      </w:r>
      <w:r w:rsidRPr="00F50B51">
        <w:rPr>
          <w:rFonts w:hint="eastAsia"/>
          <w:spacing w:val="-6"/>
          <w:sz w:val="18"/>
          <w:szCs w:val="18"/>
        </w:rPr>
        <w:t>）发布稿等规范要求编制了</w:t>
      </w:r>
      <w:r w:rsidRPr="00F50B51">
        <w:rPr>
          <w:rFonts w:hint="eastAsia"/>
          <w:spacing w:val="-6"/>
          <w:sz w:val="18"/>
          <w:szCs w:val="18"/>
        </w:rPr>
        <w:t xml:space="preserve"> 2021 </w:t>
      </w:r>
      <w:r w:rsidRPr="00F50B51">
        <w:rPr>
          <w:rFonts w:hint="eastAsia"/>
          <w:spacing w:val="-6"/>
          <w:sz w:val="18"/>
          <w:szCs w:val="18"/>
        </w:rPr>
        <w:t>年自行监测方案，并通过了市环境主管部门审核。公司严格按照《国家重点监控企业自行监测及信息公开办法》（环发〔</w:t>
      </w:r>
      <w:r w:rsidRPr="00F50B51">
        <w:rPr>
          <w:rFonts w:hint="eastAsia"/>
          <w:spacing w:val="-6"/>
          <w:sz w:val="18"/>
          <w:szCs w:val="18"/>
        </w:rPr>
        <w:t>2013</w:t>
      </w:r>
      <w:r w:rsidRPr="00F50B51">
        <w:rPr>
          <w:rFonts w:hint="eastAsia"/>
          <w:spacing w:val="-6"/>
          <w:sz w:val="18"/>
          <w:szCs w:val="18"/>
        </w:rPr>
        <w:t>〕</w:t>
      </w:r>
      <w:r w:rsidRPr="00F50B51">
        <w:rPr>
          <w:rFonts w:hint="eastAsia"/>
          <w:spacing w:val="-6"/>
          <w:sz w:val="18"/>
          <w:szCs w:val="18"/>
        </w:rPr>
        <w:t xml:space="preserve">81 </w:t>
      </w:r>
      <w:r w:rsidRPr="00F50B51">
        <w:rPr>
          <w:rFonts w:hint="eastAsia"/>
          <w:spacing w:val="-6"/>
          <w:sz w:val="18"/>
          <w:szCs w:val="18"/>
        </w:rPr>
        <w:t>号）要求制定了企业环境自行监测方案，对公司排放污染物的监测指标、监测点位、监测频次、监测方法、执行排放标准及标准限值等进行了明确规定，并在全国排污许可证管理信息平台上进行了信息公开。</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报告期内因环境问题受到行政处罚的情况</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公司或子公司名称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处罚原因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违规情形</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处罚结果</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对上市公司生产经营的影响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公司的整改措施</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其他应当公开的环境信息</w:t>
      </w:r>
    </w:p>
    <w:p w:rsidR="0058782B" w:rsidRPr="00F50B51" w:rsidRDefault="00F80EE7">
      <w:pPr>
        <w:pStyle w:val="a7"/>
        <w:rPr>
          <w:sz w:val="18"/>
          <w:szCs w:val="18"/>
        </w:rPr>
      </w:pPr>
      <w:r w:rsidRPr="00F50B51">
        <w:rPr>
          <w:rFonts w:hint="eastAsia"/>
          <w:sz w:val="18"/>
          <w:szCs w:val="18"/>
        </w:rPr>
        <w:t>公司根据环境主管部门要求设置了废水在线监控系统，委托有资质的第三方运维机构进行日常维护，保证了在线监控数据有效性；在线监控数据和自行监测数据均在政府环境主管部门网站进行公开。</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在报告期内为减少其碳排放所采取的措施及效果</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其他环保相关信息</w:t>
      </w:r>
    </w:p>
    <w:p w:rsidR="0058782B" w:rsidRPr="00F50B51" w:rsidRDefault="00F80EE7">
      <w:pPr>
        <w:pStyle w:val="a7"/>
        <w:rPr>
          <w:sz w:val="18"/>
          <w:szCs w:val="18"/>
        </w:rPr>
      </w:pPr>
      <w:r w:rsidRPr="00F50B51">
        <w:rPr>
          <w:rFonts w:hint="eastAsia"/>
          <w:sz w:val="18"/>
          <w:szCs w:val="18"/>
        </w:rPr>
        <w:t>无</w:t>
      </w:r>
    </w:p>
    <w:p w:rsidR="0058782B" w:rsidRPr="00F50B51" w:rsidRDefault="00F80EE7">
      <w:pPr>
        <w:pStyle w:val="2"/>
        <w:spacing w:before="300" w:after="300" w:line="320" w:lineRule="exact"/>
        <w:rPr>
          <w:rFonts w:ascii="宋体" w:eastAsia="宋体" w:hAnsi="宋体" w:cs="宋体"/>
          <w:b/>
          <w:bCs/>
          <w:sz w:val="24"/>
          <w:szCs w:val="24"/>
        </w:rPr>
      </w:pPr>
      <w:bookmarkStart w:id="53" w:name="_Toc988941"/>
      <w:r w:rsidRPr="00F50B51">
        <w:rPr>
          <w:rFonts w:ascii="宋体" w:eastAsia="宋体" w:hAnsi="宋体" w:cs="宋体"/>
          <w:b/>
          <w:bCs/>
          <w:sz w:val="24"/>
          <w:szCs w:val="24"/>
        </w:rPr>
        <w:t>二、社会责任情况</w:t>
      </w:r>
      <w:bookmarkEnd w:id="53"/>
    </w:p>
    <w:p w:rsidR="0058782B" w:rsidRPr="00F50B51" w:rsidRDefault="00F80EE7">
      <w:pPr>
        <w:pStyle w:val="a7"/>
        <w:spacing w:before="0" w:beforeAutospacing="0" w:after="0" w:afterAutospacing="0"/>
        <w:jc w:val="both"/>
        <w:rPr>
          <w:sz w:val="18"/>
          <w:szCs w:val="18"/>
        </w:rPr>
      </w:pPr>
      <w:r w:rsidRPr="00F50B51">
        <w:rPr>
          <w:rFonts w:ascii="Times New Roman" w:hAnsi="Times New Roman" w:cs="Times New Roman"/>
          <w:sz w:val="18"/>
          <w:szCs w:val="18"/>
        </w:rPr>
        <w:t>1</w:t>
      </w:r>
      <w:r w:rsidRPr="00F50B51">
        <w:rPr>
          <w:rFonts w:hint="eastAsia"/>
          <w:sz w:val="18"/>
          <w:szCs w:val="18"/>
        </w:rPr>
        <w:t>、股东权益保护</w:t>
      </w:r>
    </w:p>
    <w:p w:rsidR="0058782B" w:rsidRPr="00F50B51" w:rsidRDefault="00F80EE7">
      <w:pPr>
        <w:pStyle w:val="a7"/>
        <w:spacing w:before="0" w:beforeAutospacing="0" w:after="0" w:afterAutospacing="0"/>
        <w:jc w:val="both"/>
        <w:rPr>
          <w:sz w:val="18"/>
          <w:szCs w:val="18"/>
        </w:rPr>
      </w:pPr>
      <w:r w:rsidRPr="00F50B51">
        <w:rPr>
          <w:rFonts w:hint="eastAsia"/>
          <w:sz w:val="18"/>
          <w:szCs w:val="18"/>
        </w:rPr>
        <w:lastRenderedPageBreak/>
        <w:t>公司建立了较完善的治理结构，健全内部控制体系，严格遵守《公司法》、《证券法》、《上市公司信息披露管理办法》等法律、法规及《公司章程》的要求，遵循公平信息披露原则，真实、准确、完整、及时、充分地履行信息披露义务，并通过投资者电话、深交所互动易等途径与投资者沟通，认真、及时地回复投资者的提问，加强与投资者的互动交流。公司股东大会、董事会和监事会运作规范，股东大会按规定采用现场投票与网络投票相结合的方式，为股东参与公司决策提供便利。另外，公司重视对股东的投资回报，结合自身实际情况，制定合理的分红规划和利润分配方案</w:t>
      </w:r>
      <w:r w:rsidRPr="00F50B51">
        <w:rPr>
          <w:rFonts w:hint="eastAsia"/>
          <w:sz w:val="18"/>
          <w:szCs w:val="18"/>
        </w:rPr>
        <w:t>，确保分红政策的连续性和稳定性。</w:t>
      </w:r>
    </w:p>
    <w:p w:rsidR="0058782B" w:rsidRPr="00F50B51" w:rsidRDefault="00F80EE7">
      <w:pPr>
        <w:pStyle w:val="a7"/>
        <w:spacing w:before="0" w:beforeAutospacing="0" w:after="0" w:afterAutospacing="0"/>
        <w:jc w:val="both"/>
        <w:rPr>
          <w:sz w:val="18"/>
          <w:szCs w:val="18"/>
        </w:rPr>
      </w:pPr>
      <w:r w:rsidRPr="00F50B51">
        <w:rPr>
          <w:rFonts w:ascii="Times New Roman" w:hAnsi="Times New Roman" w:cs="Times New Roman"/>
          <w:sz w:val="18"/>
          <w:szCs w:val="18"/>
        </w:rPr>
        <w:t>2</w:t>
      </w:r>
      <w:r w:rsidRPr="00F50B51">
        <w:rPr>
          <w:rFonts w:hint="eastAsia"/>
          <w:sz w:val="18"/>
          <w:szCs w:val="18"/>
        </w:rPr>
        <w:t>、职工权益保护</w:t>
      </w:r>
    </w:p>
    <w:p w:rsidR="0058782B" w:rsidRPr="00F50B51" w:rsidRDefault="00F80EE7">
      <w:pPr>
        <w:pStyle w:val="a7"/>
        <w:spacing w:before="0" w:beforeAutospacing="0" w:after="0" w:afterAutospacing="0"/>
        <w:jc w:val="both"/>
        <w:rPr>
          <w:sz w:val="18"/>
          <w:szCs w:val="18"/>
        </w:rPr>
      </w:pPr>
      <w:r w:rsidRPr="00F50B51">
        <w:rPr>
          <w:rFonts w:hint="eastAsia"/>
          <w:sz w:val="18"/>
          <w:szCs w:val="18"/>
        </w:rPr>
        <w:t>公司始终秉承</w:t>
      </w:r>
      <w:r w:rsidRPr="00F50B51">
        <w:rPr>
          <w:rFonts w:ascii="Times New Roman" w:hAnsi="Times New Roman" w:cs="Times New Roman"/>
          <w:sz w:val="18"/>
          <w:szCs w:val="18"/>
        </w:rPr>
        <w:t>“</w:t>
      </w:r>
      <w:r w:rsidRPr="00F50B51">
        <w:rPr>
          <w:rFonts w:hint="eastAsia"/>
          <w:sz w:val="18"/>
          <w:szCs w:val="18"/>
        </w:rPr>
        <w:t>以人为本</w:t>
      </w:r>
      <w:r w:rsidRPr="00F50B51">
        <w:rPr>
          <w:rFonts w:ascii="Times New Roman" w:hAnsi="Times New Roman" w:cs="Times New Roman"/>
          <w:sz w:val="18"/>
          <w:szCs w:val="18"/>
        </w:rPr>
        <w:t>”</w:t>
      </w:r>
      <w:r w:rsidRPr="00F50B51">
        <w:rPr>
          <w:rFonts w:hint="eastAsia"/>
          <w:sz w:val="18"/>
          <w:szCs w:val="18"/>
        </w:rPr>
        <w:t>的管理理念，重视员工的合法权益和发展诉求，严格遵守《中华人民共和国劳动合同法》等有关规定，与在职员工签署《劳动合同》，并为员工缴纳各项社会保险，保障员工依法享受社会福利。公司注重人才培养，从知识、技能、系统理解与创造力等方面组织员工培训，创造平等发展机会，并定期安排员工体检，组织各项文体活动，多渠道开展员工关怀，增强企业凝聚力。</w:t>
      </w:r>
    </w:p>
    <w:p w:rsidR="0058782B" w:rsidRPr="00F50B51" w:rsidRDefault="00F80EE7">
      <w:pPr>
        <w:pStyle w:val="a7"/>
        <w:spacing w:before="0" w:beforeAutospacing="0" w:after="0" w:afterAutospacing="0"/>
        <w:jc w:val="both"/>
        <w:rPr>
          <w:sz w:val="18"/>
          <w:szCs w:val="18"/>
        </w:rPr>
      </w:pPr>
      <w:r w:rsidRPr="00F50B51">
        <w:rPr>
          <w:rFonts w:ascii="Times New Roman" w:hAnsi="Times New Roman" w:cs="Times New Roman"/>
          <w:sz w:val="18"/>
          <w:szCs w:val="18"/>
        </w:rPr>
        <w:t>3</w:t>
      </w:r>
      <w:r w:rsidRPr="00F50B51">
        <w:rPr>
          <w:rFonts w:hint="eastAsia"/>
          <w:sz w:val="18"/>
          <w:szCs w:val="18"/>
        </w:rPr>
        <w:t>、供应商、客户权益保护</w:t>
      </w:r>
    </w:p>
    <w:p w:rsidR="0058782B" w:rsidRPr="00F50B51" w:rsidRDefault="00F80EE7">
      <w:pPr>
        <w:pStyle w:val="a7"/>
        <w:spacing w:before="0" w:beforeAutospacing="0" w:after="0" w:afterAutospacing="0"/>
        <w:jc w:val="both"/>
        <w:rPr>
          <w:sz w:val="18"/>
          <w:szCs w:val="18"/>
        </w:rPr>
      </w:pPr>
      <w:r w:rsidRPr="00F50B51">
        <w:rPr>
          <w:rFonts w:hint="eastAsia"/>
          <w:sz w:val="18"/>
          <w:szCs w:val="18"/>
        </w:rPr>
        <w:t>公司规范采购模式，优化采购流程，积极拓宽采购渠道，通过公开竞价引入新供应商，在</w:t>
      </w:r>
      <w:r w:rsidRPr="00F50B51">
        <w:rPr>
          <w:rFonts w:hint="eastAsia"/>
          <w:sz w:val="18"/>
          <w:szCs w:val="18"/>
        </w:rPr>
        <w:t>保证货源质量的前提下最大程度降低成本，提高了效率。同时，公司建设公平透明的采购机制、通过建立供应商库等管理体系，不断加强供应商资质管理，巩固和加强协作关系，促进彼此合作共赢。</w:t>
      </w:r>
    </w:p>
    <w:p w:rsidR="0058782B" w:rsidRPr="00F50B51" w:rsidRDefault="00F80EE7">
      <w:pPr>
        <w:pStyle w:val="a7"/>
        <w:spacing w:before="0" w:beforeAutospacing="0" w:after="0" w:afterAutospacing="0"/>
        <w:jc w:val="both"/>
        <w:rPr>
          <w:sz w:val="18"/>
          <w:szCs w:val="18"/>
        </w:rPr>
      </w:pPr>
      <w:r w:rsidRPr="00F50B51">
        <w:rPr>
          <w:rFonts w:hint="eastAsia"/>
          <w:sz w:val="18"/>
          <w:szCs w:val="18"/>
        </w:rPr>
        <w:t>公司坚守诚信经营原则，注重与各方沟通协调，构筑平等、互利的合作平台，建立深化</w:t>
      </w:r>
      <w:r w:rsidRPr="00F50B51">
        <w:rPr>
          <w:rFonts w:ascii="Times New Roman" w:hAnsi="Times New Roman" w:cs="Times New Roman"/>
          <w:sz w:val="18"/>
          <w:szCs w:val="18"/>
        </w:rPr>
        <w:t>“</w:t>
      </w:r>
      <w:r w:rsidRPr="00F50B51">
        <w:rPr>
          <w:rFonts w:hint="eastAsia"/>
          <w:sz w:val="18"/>
          <w:szCs w:val="18"/>
        </w:rPr>
        <w:t>长期、稳定、合作、共赢</w:t>
      </w:r>
      <w:r w:rsidRPr="00F50B51">
        <w:rPr>
          <w:rFonts w:ascii="Times New Roman" w:hAnsi="Times New Roman" w:cs="Times New Roman"/>
          <w:sz w:val="18"/>
          <w:szCs w:val="18"/>
        </w:rPr>
        <w:t>”</w:t>
      </w:r>
      <w:r w:rsidRPr="00F50B51">
        <w:rPr>
          <w:rFonts w:hint="eastAsia"/>
          <w:sz w:val="18"/>
          <w:szCs w:val="18"/>
        </w:rPr>
        <w:t>的客户关系。公司坚持以满足客户需求为导向，提供高质量产品，着力提升客户服务水平，持续提升客户感知度和满意度。</w:t>
      </w:r>
    </w:p>
    <w:p w:rsidR="0058782B" w:rsidRPr="00F50B51" w:rsidRDefault="00F80EE7">
      <w:pPr>
        <w:pStyle w:val="a7"/>
        <w:spacing w:before="0" w:beforeAutospacing="0" w:after="0" w:afterAutospacing="0"/>
        <w:jc w:val="both"/>
        <w:rPr>
          <w:sz w:val="18"/>
          <w:szCs w:val="18"/>
        </w:rPr>
      </w:pPr>
      <w:r w:rsidRPr="00F50B51">
        <w:rPr>
          <w:rFonts w:ascii="Times New Roman" w:hAnsi="Times New Roman" w:cs="Times New Roman"/>
          <w:sz w:val="18"/>
          <w:szCs w:val="18"/>
        </w:rPr>
        <w:t>4</w:t>
      </w:r>
      <w:r w:rsidRPr="00F50B51">
        <w:rPr>
          <w:rFonts w:hint="eastAsia"/>
          <w:sz w:val="18"/>
          <w:szCs w:val="18"/>
        </w:rPr>
        <w:t>、履行其他社会责任</w:t>
      </w:r>
    </w:p>
    <w:p w:rsidR="0058782B" w:rsidRPr="00F50B51" w:rsidRDefault="00F80EE7">
      <w:pPr>
        <w:pStyle w:val="a7"/>
        <w:spacing w:before="40" w:beforeAutospacing="0" w:after="40" w:afterAutospacing="0"/>
        <w:jc w:val="both"/>
        <w:rPr>
          <w:sz w:val="18"/>
          <w:szCs w:val="18"/>
        </w:rPr>
      </w:pPr>
      <w:r w:rsidRPr="00F50B51">
        <w:rPr>
          <w:rFonts w:hint="eastAsia"/>
          <w:sz w:val="18"/>
          <w:szCs w:val="18"/>
        </w:rPr>
        <w:t>公司响应国家环保政策，高度重视环境保护、节能减排工作，严格按照有关环保法规及相应标准对废水、废气进行有效综合治理，通过技术改进推动绿色生产，积极践行企业环保责任。</w:t>
      </w:r>
    </w:p>
    <w:p w:rsidR="0058782B" w:rsidRPr="00F50B51" w:rsidRDefault="00F80EE7">
      <w:r w:rsidRPr="00F50B51">
        <w:br w:type="page"/>
      </w:r>
    </w:p>
    <w:p w:rsidR="0058782B" w:rsidRPr="00F50B51" w:rsidRDefault="00F80EE7">
      <w:pPr>
        <w:pStyle w:val="headingh1"/>
        <w:spacing w:before="340" w:after="330" w:line="773" w:lineRule="exact"/>
        <w:jc w:val="center"/>
        <w:rPr>
          <w:rFonts w:ascii="宋体" w:eastAsia="宋体" w:hAnsi="宋体" w:cs="宋体"/>
          <w:b/>
          <w:bCs/>
          <w:sz w:val="32"/>
          <w:szCs w:val="32"/>
        </w:rPr>
      </w:pPr>
      <w:bookmarkStart w:id="54" w:name="_Toc988942"/>
      <w:r w:rsidRPr="00F50B51">
        <w:rPr>
          <w:rFonts w:ascii="宋体" w:eastAsia="宋体" w:hAnsi="宋体" w:cs="宋体"/>
          <w:b/>
          <w:bCs/>
          <w:sz w:val="32"/>
          <w:szCs w:val="32"/>
        </w:rPr>
        <w:lastRenderedPageBreak/>
        <w:t>第六节</w:t>
      </w:r>
      <w:r w:rsidRPr="00F50B51">
        <w:rPr>
          <w:rFonts w:ascii="宋体" w:eastAsia="宋体" w:hAnsi="宋体" w:cs="宋体"/>
          <w:b/>
          <w:bCs/>
          <w:sz w:val="32"/>
          <w:szCs w:val="32"/>
        </w:rPr>
        <w:t xml:space="preserve"> </w:t>
      </w:r>
      <w:r w:rsidRPr="00F50B51">
        <w:rPr>
          <w:rFonts w:ascii="宋体" w:eastAsia="宋体" w:hAnsi="宋体" w:cs="宋体"/>
          <w:b/>
          <w:bCs/>
          <w:sz w:val="32"/>
          <w:szCs w:val="32"/>
        </w:rPr>
        <w:t>重要事项</w:t>
      </w:r>
      <w:bookmarkEnd w:id="54"/>
    </w:p>
    <w:p w:rsidR="0058782B" w:rsidRPr="00F50B51" w:rsidRDefault="00F80EE7">
      <w:pPr>
        <w:pStyle w:val="2"/>
        <w:spacing w:before="300" w:after="300" w:line="320" w:lineRule="exact"/>
        <w:rPr>
          <w:rFonts w:ascii="宋体" w:eastAsia="宋体" w:hAnsi="宋体" w:cs="宋体"/>
          <w:b/>
          <w:bCs/>
          <w:sz w:val="24"/>
          <w:szCs w:val="24"/>
        </w:rPr>
      </w:pPr>
      <w:bookmarkStart w:id="55" w:name="_Toc988943"/>
      <w:r w:rsidRPr="00F50B51">
        <w:rPr>
          <w:rFonts w:ascii="宋体" w:eastAsia="宋体" w:hAnsi="宋体" w:cs="宋体"/>
          <w:b/>
          <w:bCs/>
          <w:sz w:val="24"/>
          <w:szCs w:val="24"/>
        </w:rPr>
        <w:t>一、公司实际控制人、股东、关联方、收购人以及公司等承诺相关方在报告期内履行完毕及截至报告期末超期未履行完毕的承诺事项</w:t>
      </w:r>
      <w:bookmarkEnd w:id="55"/>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承诺事由</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承诺方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承诺类型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承诺内容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承诺时间</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承诺期限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履行情况</w:t>
            </w:r>
          </w:p>
        </w:tc>
      </w:tr>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公司控股股东、实际控制人陈启丰、陈宏音夫妻二人及其子女陈伟东、陈伟儿</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股份减持承诺</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在本人或本人近亲属担任公司董事、监事或高级管理人员期间内每年转让的公司股份不超过所直接或间接持有的公司股份总数的</w:t>
            </w:r>
            <w:r w:rsidRPr="00F50B51">
              <w:rPr>
                <w:rFonts w:ascii="宋体" w:eastAsia="宋体" w:hAnsi="宋体" w:cs="宋体"/>
                <w:sz w:val="18"/>
                <w:szCs w:val="18"/>
              </w:rPr>
              <w:t>25%</w:t>
            </w:r>
            <w:r w:rsidRPr="00F50B51">
              <w:rPr>
                <w:rFonts w:ascii="宋体" w:eastAsia="宋体" w:hAnsi="宋体" w:cs="宋体"/>
                <w:sz w:val="18"/>
                <w:szCs w:val="18"/>
              </w:rPr>
              <w:t>；在本人或本人近亲属申报离职后半年内，将不会转让所直接或间接持有的公司股份，在本人或本人近亲属申报离职</w:t>
            </w:r>
            <w:r w:rsidRPr="00F50B51">
              <w:rPr>
                <w:rFonts w:ascii="宋体" w:eastAsia="宋体" w:hAnsi="宋体" w:cs="宋体"/>
                <w:sz w:val="18"/>
                <w:szCs w:val="18"/>
              </w:rPr>
              <w:t>6</w:t>
            </w:r>
            <w:r w:rsidRPr="00F50B51">
              <w:rPr>
                <w:rFonts w:ascii="宋体" w:eastAsia="宋体" w:hAnsi="宋体" w:cs="宋体"/>
                <w:sz w:val="18"/>
                <w:szCs w:val="18"/>
              </w:rPr>
              <w:t>个月后的</w:t>
            </w:r>
            <w:r w:rsidRPr="00F50B51">
              <w:rPr>
                <w:rFonts w:ascii="宋体" w:eastAsia="宋体" w:hAnsi="宋体" w:cs="宋体"/>
                <w:sz w:val="18"/>
                <w:szCs w:val="18"/>
              </w:rPr>
              <w:t>12</w:t>
            </w:r>
            <w:r w:rsidRPr="00F50B51">
              <w:rPr>
                <w:rFonts w:ascii="宋体" w:eastAsia="宋体" w:hAnsi="宋体" w:cs="宋体"/>
                <w:sz w:val="18"/>
                <w:szCs w:val="18"/>
              </w:rPr>
              <w:t>个月内通过证券交易所挂牌交易出售公司股票的数量占本人直接或间接所持有公司股票总数的比例不超过</w:t>
            </w:r>
            <w:r w:rsidRPr="00F50B51">
              <w:rPr>
                <w:rFonts w:ascii="宋体" w:eastAsia="宋体" w:hAnsi="宋体" w:cs="宋体"/>
                <w:sz w:val="18"/>
                <w:szCs w:val="18"/>
              </w:rPr>
              <w:t>50%</w:t>
            </w:r>
            <w:r w:rsidRPr="00F50B51">
              <w:rPr>
                <w:rFonts w:ascii="宋体" w:eastAsia="宋体" w:hAnsi="宋体" w:cs="宋体"/>
                <w:sz w:val="18"/>
                <w:szCs w:val="18"/>
              </w:rPr>
              <w:t>。在锁定期满后两年内减持股票的，减持价格不低于本次发行的发行价；公司上市后</w:t>
            </w:r>
            <w:r w:rsidRPr="00F50B51">
              <w:rPr>
                <w:rFonts w:ascii="宋体" w:eastAsia="宋体" w:hAnsi="宋体" w:cs="宋体"/>
                <w:sz w:val="18"/>
                <w:szCs w:val="18"/>
              </w:rPr>
              <w:t>6</w:t>
            </w:r>
            <w:r w:rsidRPr="00F50B51">
              <w:rPr>
                <w:rFonts w:ascii="宋体" w:eastAsia="宋体" w:hAnsi="宋体" w:cs="宋体"/>
                <w:sz w:val="18"/>
                <w:szCs w:val="18"/>
              </w:rPr>
              <w:t>个月内如公司股票连续</w:t>
            </w:r>
            <w:r w:rsidRPr="00F50B51">
              <w:rPr>
                <w:rFonts w:ascii="宋体" w:eastAsia="宋体" w:hAnsi="宋体" w:cs="宋体"/>
                <w:sz w:val="18"/>
                <w:szCs w:val="18"/>
              </w:rPr>
              <w:t>20</w:t>
            </w:r>
            <w:r w:rsidRPr="00F50B51">
              <w:rPr>
                <w:rFonts w:ascii="宋体" w:eastAsia="宋体" w:hAnsi="宋体" w:cs="宋体"/>
                <w:sz w:val="18"/>
                <w:szCs w:val="18"/>
              </w:rPr>
              <w:t>个交易日的收盘价均低于发行价，或者上市后</w:t>
            </w:r>
            <w:r w:rsidRPr="00F50B51">
              <w:rPr>
                <w:rFonts w:ascii="宋体" w:eastAsia="宋体" w:hAnsi="宋体" w:cs="宋体"/>
                <w:sz w:val="18"/>
                <w:szCs w:val="18"/>
              </w:rPr>
              <w:t>6</w:t>
            </w:r>
            <w:r w:rsidRPr="00F50B51">
              <w:rPr>
                <w:rFonts w:ascii="宋体" w:eastAsia="宋体" w:hAnsi="宋体" w:cs="宋体"/>
                <w:sz w:val="18"/>
                <w:szCs w:val="18"/>
              </w:rPr>
              <w:t>个月期末收盘价低于发行价，本人直接或间</w:t>
            </w:r>
            <w:r w:rsidRPr="00F50B51">
              <w:rPr>
                <w:rFonts w:ascii="宋体" w:eastAsia="宋体" w:hAnsi="宋体" w:cs="宋体"/>
                <w:sz w:val="18"/>
                <w:szCs w:val="18"/>
              </w:rPr>
              <w:t>接所持股票的锁定期自动延长</w:t>
            </w:r>
            <w:r w:rsidRPr="00F50B51">
              <w:rPr>
                <w:rFonts w:ascii="宋体" w:eastAsia="宋体" w:hAnsi="宋体" w:cs="宋体"/>
                <w:sz w:val="18"/>
                <w:szCs w:val="18"/>
              </w:rPr>
              <w:t>6</w:t>
            </w:r>
            <w:r w:rsidRPr="00F50B51">
              <w:rPr>
                <w:rFonts w:ascii="宋体" w:eastAsia="宋体" w:hAnsi="宋体" w:cs="宋体"/>
                <w:sz w:val="18"/>
                <w:szCs w:val="18"/>
              </w:rPr>
              <w:t>个月；在公司上市后</w:t>
            </w:r>
            <w:r w:rsidRPr="00F50B51">
              <w:rPr>
                <w:rFonts w:ascii="宋体" w:eastAsia="宋体" w:hAnsi="宋体" w:cs="宋体"/>
                <w:sz w:val="18"/>
                <w:szCs w:val="18"/>
              </w:rPr>
              <w:t>3</w:t>
            </w:r>
            <w:r w:rsidRPr="00F50B51">
              <w:rPr>
                <w:rFonts w:ascii="宋体" w:eastAsia="宋体" w:hAnsi="宋体" w:cs="宋体"/>
                <w:sz w:val="18"/>
                <w:szCs w:val="18"/>
              </w:rPr>
              <w:t>年内，</w:t>
            </w:r>
            <w:r w:rsidRPr="00F50B51">
              <w:rPr>
                <w:rFonts w:ascii="宋体" w:eastAsia="宋体" w:hAnsi="宋体" w:cs="宋体"/>
                <w:sz w:val="18"/>
                <w:szCs w:val="18"/>
              </w:rPr>
              <w:lastRenderedPageBreak/>
              <w:t>如果公司股票连续</w:t>
            </w:r>
            <w:r w:rsidRPr="00F50B51">
              <w:rPr>
                <w:rFonts w:ascii="宋体" w:eastAsia="宋体" w:hAnsi="宋体" w:cs="宋体"/>
                <w:sz w:val="18"/>
                <w:szCs w:val="18"/>
              </w:rPr>
              <w:t>20</w:t>
            </w:r>
            <w:r w:rsidRPr="00F50B51">
              <w:rPr>
                <w:rFonts w:ascii="宋体" w:eastAsia="宋体" w:hAnsi="宋体" w:cs="宋体"/>
                <w:sz w:val="18"/>
                <w:szCs w:val="18"/>
              </w:rPr>
              <w:t>个交易日除权后的加权平均价格（按当日交易数量加权平均，不包括大宗交易）低于公司上一会计年度经审计的除权后每股净资产值，本人直接或间接所持股票的锁定期自动延长</w:t>
            </w:r>
            <w:r w:rsidRPr="00F50B51">
              <w:rPr>
                <w:rFonts w:ascii="宋体" w:eastAsia="宋体" w:hAnsi="宋体" w:cs="宋体"/>
                <w:sz w:val="18"/>
                <w:szCs w:val="18"/>
              </w:rPr>
              <w:t>6</w:t>
            </w:r>
            <w:r w:rsidRPr="00F50B51">
              <w:rPr>
                <w:rFonts w:ascii="宋体" w:eastAsia="宋体" w:hAnsi="宋体" w:cs="宋体"/>
                <w:sz w:val="18"/>
                <w:szCs w:val="18"/>
              </w:rPr>
              <w:t>个月；若公司股票在锁定期内发生派息、送股、资本公积转增股本等除权除息事项的，上述减持价格及收盘价均应相应作除权除息处理。</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2017</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19</w:t>
            </w:r>
            <w:r w:rsidRPr="00F50B51">
              <w:rPr>
                <w:rFonts w:ascii="宋体" w:eastAsia="宋体" w:hAnsi="宋体" w:cs="宋体"/>
                <w:sz w:val="18"/>
                <w:szCs w:val="18"/>
              </w:rPr>
              <w:t>日</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长期有效</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正在履行</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lastRenderedPageBreak/>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持有本公司</w:t>
            </w:r>
            <w:r w:rsidRPr="00F50B51">
              <w:rPr>
                <w:rFonts w:ascii="宋体" w:eastAsia="宋体" w:hAnsi="宋体" w:cs="宋体"/>
                <w:sz w:val="18"/>
                <w:szCs w:val="18"/>
              </w:rPr>
              <w:t>5%</w:t>
            </w:r>
            <w:r w:rsidRPr="00F50B51">
              <w:rPr>
                <w:rFonts w:ascii="宋体" w:eastAsia="宋体" w:hAnsi="宋体" w:cs="宋体"/>
                <w:sz w:val="18"/>
                <w:szCs w:val="18"/>
              </w:rPr>
              <w:t>以上股份的股东，陈启丰、启龙有限</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股份减持承诺</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、本人</w:t>
            </w:r>
            <w:r w:rsidRPr="00F50B51">
              <w:rPr>
                <w:rFonts w:ascii="宋体" w:eastAsia="宋体" w:hAnsi="宋体" w:cs="宋体"/>
                <w:sz w:val="18"/>
                <w:szCs w:val="18"/>
              </w:rPr>
              <w:t>/</w:t>
            </w:r>
            <w:r w:rsidRPr="00F50B51">
              <w:rPr>
                <w:rFonts w:ascii="宋体" w:eastAsia="宋体" w:hAnsi="宋体" w:cs="宋体"/>
                <w:sz w:val="18"/>
                <w:szCs w:val="18"/>
              </w:rPr>
              <w:t>本公司减持公司股份应符合相关法律、法规、规章的规定，具体方式包括但不限于交易所集中竞价交易方式、大宗交易方式、协议转让方式等。</w:t>
            </w:r>
            <w:r w:rsidRPr="00F50B51">
              <w:rPr>
                <w:rFonts w:ascii="宋体" w:eastAsia="宋体" w:hAnsi="宋体" w:cs="宋体"/>
                <w:sz w:val="18"/>
                <w:szCs w:val="18"/>
              </w:rPr>
              <w:t>2</w:t>
            </w:r>
            <w:r w:rsidRPr="00F50B51">
              <w:rPr>
                <w:rFonts w:ascii="宋体" w:eastAsia="宋体" w:hAnsi="宋体" w:cs="宋体"/>
                <w:sz w:val="18"/>
                <w:szCs w:val="18"/>
              </w:rPr>
              <w:t>、本人</w:t>
            </w:r>
            <w:r w:rsidRPr="00F50B51">
              <w:rPr>
                <w:rFonts w:ascii="宋体" w:eastAsia="宋体" w:hAnsi="宋体" w:cs="宋体"/>
                <w:sz w:val="18"/>
                <w:szCs w:val="18"/>
              </w:rPr>
              <w:t>/</w:t>
            </w:r>
            <w:r w:rsidRPr="00F50B51">
              <w:rPr>
                <w:rFonts w:ascii="宋体" w:eastAsia="宋体" w:hAnsi="宋体" w:cs="宋体"/>
                <w:sz w:val="18"/>
                <w:szCs w:val="18"/>
              </w:rPr>
              <w:t>本公司在股份锁定期满后两年内减持的，减持价格不低于本次发行的发行价。</w:t>
            </w:r>
            <w:r w:rsidRPr="00F50B51">
              <w:rPr>
                <w:rFonts w:ascii="宋体" w:eastAsia="宋体" w:hAnsi="宋体" w:cs="宋体"/>
                <w:sz w:val="18"/>
                <w:szCs w:val="18"/>
              </w:rPr>
              <w:t>3</w:t>
            </w:r>
            <w:r w:rsidRPr="00F50B51">
              <w:rPr>
                <w:rFonts w:ascii="宋体" w:eastAsia="宋体" w:hAnsi="宋体" w:cs="宋体"/>
                <w:sz w:val="18"/>
                <w:szCs w:val="18"/>
              </w:rPr>
              <w:t>、若上述股票锁定期间公司发生派发股利、送红股、转增股本、增发新股或配股等除息、除权行为的</w:t>
            </w:r>
            <w:r w:rsidRPr="00F50B51">
              <w:rPr>
                <w:rFonts w:ascii="宋体" w:eastAsia="宋体" w:hAnsi="宋体" w:cs="宋体"/>
                <w:sz w:val="18"/>
                <w:szCs w:val="18"/>
              </w:rPr>
              <w:t>,</w:t>
            </w:r>
            <w:r w:rsidRPr="00F50B51">
              <w:rPr>
                <w:rFonts w:ascii="宋体" w:eastAsia="宋体" w:hAnsi="宋体" w:cs="宋体"/>
                <w:sz w:val="18"/>
                <w:szCs w:val="18"/>
              </w:rPr>
              <w:t>则上述价格将进行相应调整。</w:t>
            </w:r>
            <w:r w:rsidRPr="00F50B51">
              <w:rPr>
                <w:rFonts w:ascii="宋体" w:eastAsia="宋体" w:hAnsi="宋体" w:cs="宋体"/>
                <w:sz w:val="18"/>
                <w:szCs w:val="18"/>
              </w:rPr>
              <w:t>4</w:t>
            </w:r>
            <w:r w:rsidRPr="00F50B51">
              <w:rPr>
                <w:rFonts w:ascii="宋体" w:eastAsia="宋体" w:hAnsi="宋体" w:cs="宋体"/>
                <w:sz w:val="18"/>
                <w:szCs w:val="18"/>
              </w:rPr>
              <w:t>、本人</w:t>
            </w:r>
            <w:r w:rsidRPr="00F50B51">
              <w:rPr>
                <w:rFonts w:ascii="宋体" w:eastAsia="宋体" w:hAnsi="宋体" w:cs="宋体"/>
                <w:sz w:val="18"/>
                <w:szCs w:val="18"/>
              </w:rPr>
              <w:t>/</w:t>
            </w:r>
            <w:r w:rsidRPr="00F50B51">
              <w:rPr>
                <w:rFonts w:ascii="宋体" w:eastAsia="宋体" w:hAnsi="宋体" w:cs="宋体"/>
                <w:sz w:val="18"/>
                <w:szCs w:val="18"/>
              </w:rPr>
              <w:t>本公司减持公司股份前，将提前三个交易日予以公告，并按照</w:t>
            </w:r>
            <w:r w:rsidRPr="00F50B51">
              <w:rPr>
                <w:rFonts w:ascii="宋体" w:eastAsia="宋体" w:hAnsi="宋体" w:cs="宋体"/>
                <w:sz w:val="18"/>
                <w:szCs w:val="18"/>
              </w:rPr>
              <w:lastRenderedPageBreak/>
              <w:t>证券交易所的规则及时、准确地履行信息披露义务；</w:t>
            </w:r>
            <w:r w:rsidRPr="00F50B51">
              <w:rPr>
                <w:rFonts w:ascii="宋体" w:eastAsia="宋体" w:hAnsi="宋体" w:cs="宋体"/>
                <w:sz w:val="18"/>
                <w:szCs w:val="18"/>
              </w:rPr>
              <w:t>5</w:t>
            </w:r>
            <w:r w:rsidRPr="00F50B51">
              <w:rPr>
                <w:rFonts w:ascii="宋体" w:eastAsia="宋体" w:hAnsi="宋体" w:cs="宋体"/>
                <w:sz w:val="18"/>
                <w:szCs w:val="18"/>
              </w:rPr>
              <w:t>．若法律、法规及中国证监会相关规则另有规定的，从其规定。如果本人</w:t>
            </w:r>
            <w:r w:rsidRPr="00F50B51">
              <w:rPr>
                <w:rFonts w:ascii="宋体" w:eastAsia="宋体" w:hAnsi="宋体" w:cs="宋体"/>
                <w:sz w:val="18"/>
                <w:szCs w:val="18"/>
              </w:rPr>
              <w:t>/</w:t>
            </w:r>
            <w:r w:rsidRPr="00F50B51">
              <w:rPr>
                <w:rFonts w:ascii="宋体" w:eastAsia="宋体" w:hAnsi="宋体" w:cs="宋体"/>
                <w:sz w:val="18"/>
                <w:szCs w:val="18"/>
              </w:rPr>
              <w:t>本</w:t>
            </w:r>
            <w:r w:rsidRPr="00F50B51">
              <w:rPr>
                <w:rFonts w:ascii="宋体" w:eastAsia="宋体" w:hAnsi="宋体" w:cs="宋体"/>
                <w:sz w:val="18"/>
                <w:szCs w:val="18"/>
              </w:rPr>
              <w:t>公司未履行上述承诺，该次减持股份所得收益归公司所有。</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2017</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19</w:t>
            </w:r>
            <w:r w:rsidRPr="00F50B51">
              <w:rPr>
                <w:rFonts w:ascii="宋体" w:eastAsia="宋体" w:hAnsi="宋体" w:cs="宋体"/>
                <w:sz w:val="18"/>
                <w:szCs w:val="18"/>
              </w:rPr>
              <w:t>日</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长期有效</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正在履行</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lastRenderedPageBreak/>
              <w:t>股权激励承诺</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股权激励承诺</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公司承诺不为任何激励对象依本激励计划获取的有关权益提供贷款以及其他任何形式的财务资助，且不为其贷款提供担保。</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w:t>
            </w:r>
            <w:r w:rsidRPr="00F50B51">
              <w:rPr>
                <w:rFonts w:ascii="宋体" w:eastAsia="宋体" w:hAnsi="宋体" w:cs="宋体"/>
                <w:sz w:val="18"/>
                <w:szCs w:val="18"/>
              </w:rPr>
              <w:t>10</w:t>
            </w:r>
            <w:r w:rsidRPr="00F50B51">
              <w:rPr>
                <w:rFonts w:ascii="宋体" w:eastAsia="宋体" w:hAnsi="宋体" w:cs="宋体"/>
                <w:sz w:val="18"/>
                <w:szCs w:val="18"/>
              </w:rPr>
              <w:t>月</w:t>
            </w:r>
            <w:r w:rsidRPr="00F50B51">
              <w:rPr>
                <w:rFonts w:ascii="宋体" w:eastAsia="宋体" w:hAnsi="宋体" w:cs="宋体"/>
                <w:sz w:val="18"/>
                <w:szCs w:val="18"/>
              </w:rPr>
              <w:t>29</w:t>
            </w:r>
            <w:r w:rsidRPr="00F50B51">
              <w:rPr>
                <w:rFonts w:ascii="宋体" w:eastAsia="宋体" w:hAnsi="宋体" w:cs="宋体"/>
                <w:sz w:val="18"/>
                <w:szCs w:val="18"/>
              </w:rPr>
              <w:t>日</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长期有效</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正在履行</w:t>
            </w:r>
          </w:p>
        </w:tc>
      </w:tr>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其他对公司中小股东所作承诺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持有本公司</w:t>
            </w:r>
            <w:r w:rsidRPr="00F50B51">
              <w:rPr>
                <w:rFonts w:ascii="宋体" w:eastAsia="宋体" w:hAnsi="宋体" w:cs="宋体"/>
                <w:sz w:val="18"/>
                <w:szCs w:val="18"/>
              </w:rPr>
              <w:t>5%</w:t>
            </w:r>
            <w:r w:rsidRPr="00F50B51">
              <w:rPr>
                <w:rFonts w:ascii="宋体" w:eastAsia="宋体" w:hAnsi="宋体" w:cs="宋体"/>
                <w:sz w:val="18"/>
                <w:szCs w:val="18"/>
              </w:rPr>
              <w:t>以上股份的股东，陈启丰、启龙有限</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避免同业竞争承诺</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承诺不直接或间接从事与公司主营业务构成竞争的相同或相似的业务。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2017</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19</w:t>
            </w:r>
            <w:r w:rsidRPr="00F50B51">
              <w:rPr>
                <w:rFonts w:ascii="宋体" w:eastAsia="宋体" w:hAnsi="宋体" w:cs="宋体"/>
                <w:sz w:val="18"/>
                <w:szCs w:val="18"/>
              </w:rPr>
              <w:t>日</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长期有效</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正在履行</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其他对公司中小股东所作承诺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公司控股股东、实际控制人陈启丰、陈宏音夫妻二人及其子女陈伟东、陈伟儿</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其他承诺</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公司控股股东、实际控制人出具了《关于不占用公司资金的承诺函》，承诺本人及本人直接或间接控制的企业在与公司及其直接或间接控制的企业发生的经营性往来中，将不占用公司资金等。</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2017</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19</w:t>
            </w:r>
            <w:r w:rsidRPr="00F50B51">
              <w:rPr>
                <w:rFonts w:ascii="宋体" w:eastAsia="宋体" w:hAnsi="宋体" w:cs="宋体"/>
                <w:sz w:val="18"/>
                <w:szCs w:val="18"/>
              </w:rPr>
              <w:t>日</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长期有效</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正在履行</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承诺是否按时履行</w:t>
            </w:r>
          </w:p>
        </w:tc>
        <w:tc>
          <w:tcPr>
            <w:tcW w:w="8262" w:type="dxa"/>
            <w:gridSpan w:val="6"/>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是</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如承诺超期未履行完毕的，应当详细说明未完成履行的具体原因及下一步的工作计划</w:t>
            </w:r>
          </w:p>
        </w:tc>
        <w:tc>
          <w:tcPr>
            <w:tcW w:w="8262" w:type="dxa"/>
            <w:gridSpan w:val="6"/>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bl>
    <w:p w:rsidR="0058782B" w:rsidRPr="00F50B51" w:rsidRDefault="00F80EE7">
      <w:pPr>
        <w:pStyle w:val="2"/>
        <w:spacing w:before="300" w:after="300" w:line="320" w:lineRule="exact"/>
        <w:rPr>
          <w:rFonts w:ascii="宋体" w:eastAsia="宋体" w:hAnsi="宋体" w:cs="宋体"/>
          <w:b/>
          <w:bCs/>
          <w:sz w:val="24"/>
          <w:szCs w:val="24"/>
        </w:rPr>
      </w:pPr>
      <w:bookmarkStart w:id="56" w:name="_Toc988944"/>
      <w:r w:rsidRPr="00F50B51">
        <w:rPr>
          <w:rFonts w:ascii="宋体" w:eastAsia="宋体" w:hAnsi="宋体" w:cs="宋体"/>
          <w:b/>
          <w:bCs/>
          <w:sz w:val="24"/>
          <w:szCs w:val="24"/>
        </w:rPr>
        <w:lastRenderedPageBreak/>
        <w:t>二、控股股东及其他关联方对上市公司的非经营性占用资金情况</w:t>
      </w:r>
      <w:bookmarkEnd w:id="56"/>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公司报告期不存在控股股东及其他关联方对上市公司的非经营性占用资金。</w:t>
      </w:r>
    </w:p>
    <w:p w:rsidR="0058782B" w:rsidRPr="00F50B51" w:rsidRDefault="00F80EE7">
      <w:pPr>
        <w:pStyle w:val="2"/>
        <w:spacing w:before="300" w:after="300" w:line="320" w:lineRule="exact"/>
        <w:rPr>
          <w:rFonts w:ascii="宋体" w:eastAsia="宋体" w:hAnsi="宋体" w:cs="宋体"/>
          <w:b/>
          <w:bCs/>
          <w:sz w:val="24"/>
          <w:szCs w:val="24"/>
        </w:rPr>
      </w:pPr>
      <w:bookmarkStart w:id="57" w:name="_Toc988945"/>
      <w:r w:rsidRPr="00F50B51">
        <w:rPr>
          <w:rFonts w:ascii="宋体" w:eastAsia="宋体" w:hAnsi="宋体" w:cs="宋体"/>
          <w:b/>
          <w:bCs/>
          <w:sz w:val="24"/>
          <w:szCs w:val="24"/>
        </w:rPr>
        <w:t>三、违规对外担保情况</w:t>
      </w:r>
      <w:bookmarkEnd w:id="57"/>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公司报告期无违规对外担保情况。</w:t>
      </w:r>
    </w:p>
    <w:p w:rsidR="0058782B" w:rsidRPr="00F50B51" w:rsidRDefault="00F80EE7">
      <w:pPr>
        <w:pStyle w:val="2"/>
        <w:spacing w:before="300" w:after="300" w:line="320" w:lineRule="exact"/>
        <w:rPr>
          <w:rFonts w:ascii="宋体" w:eastAsia="宋体" w:hAnsi="宋体" w:cs="宋体"/>
          <w:b/>
          <w:bCs/>
          <w:sz w:val="24"/>
          <w:szCs w:val="24"/>
        </w:rPr>
      </w:pPr>
      <w:bookmarkStart w:id="58" w:name="_Toc988946"/>
      <w:r w:rsidRPr="00F50B51">
        <w:rPr>
          <w:rFonts w:ascii="宋体" w:eastAsia="宋体" w:hAnsi="宋体" w:cs="宋体"/>
          <w:b/>
          <w:bCs/>
          <w:sz w:val="24"/>
          <w:szCs w:val="24"/>
        </w:rPr>
        <w:t>四、聘任、解聘会计师事务所情况</w:t>
      </w:r>
      <w:bookmarkEnd w:id="58"/>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半年度财务报告是否已经审计</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是</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否</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公司半年度报告未经审计。</w:t>
      </w:r>
    </w:p>
    <w:p w:rsidR="0058782B" w:rsidRPr="00F50B51" w:rsidRDefault="00F80EE7">
      <w:pPr>
        <w:pStyle w:val="2"/>
        <w:spacing w:before="300" w:after="300" w:line="320" w:lineRule="exact"/>
        <w:rPr>
          <w:rFonts w:ascii="宋体" w:eastAsia="宋体" w:hAnsi="宋体" w:cs="宋体"/>
          <w:b/>
          <w:bCs/>
          <w:sz w:val="24"/>
          <w:szCs w:val="24"/>
        </w:rPr>
      </w:pPr>
      <w:bookmarkStart w:id="59" w:name="_Toc988947"/>
      <w:r w:rsidRPr="00F50B51">
        <w:rPr>
          <w:rFonts w:ascii="宋体" w:eastAsia="宋体" w:hAnsi="宋体" w:cs="宋体"/>
          <w:b/>
          <w:bCs/>
          <w:sz w:val="24"/>
          <w:szCs w:val="24"/>
        </w:rPr>
        <w:t>五、董事会、监事会对会计师事务所本报告期</w:t>
      </w:r>
      <w:r w:rsidRPr="00F50B51">
        <w:rPr>
          <w:rFonts w:ascii="宋体" w:eastAsia="宋体" w:hAnsi="宋体" w:cs="宋体"/>
          <w:b/>
          <w:bCs/>
          <w:sz w:val="24"/>
          <w:szCs w:val="24"/>
        </w:rPr>
        <w:t>“</w:t>
      </w:r>
      <w:r w:rsidRPr="00F50B51">
        <w:rPr>
          <w:rFonts w:ascii="宋体" w:eastAsia="宋体" w:hAnsi="宋体" w:cs="宋体"/>
          <w:b/>
          <w:bCs/>
          <w:sz w:val="24"/>
          <w:szCs w:val="24"/>
        </w:rPr>
        <w:t>非标准审计报告</w:t>
      </w:r>
      <w:r w:rsidRPr="00F50B51">
        <w:rPr>
          <w:rFonts w:ascii="宋体" w:eastAsia="宋体" w:hAnsi="宋体" w:cs="宋体"/>
          <w:b/>
          <w:bCs/>
          <w:sz w:val="24"/>
          <w:szCs w:val="24"/>
        </w:rPr>
        <w:t>”</w:t>
      </w:r>
      <w:r w:rsidRPr="00F50B51">
        <w:rPr>
          <w:rFonts w:ascii="宋体" w:eastAsia="宋体" w:hAnsi="宋体" w:cs="宋体"/>
          <w:b/>
          <w:bCs/>
          <w:sz w:val="24"/>
          <w:szCs w:val="24"/>
        </w:rPr>
        <w:t>的说明</w:t>
      </w:r>
      <w:bookmarkEnd w:id="59"/>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2"/>
        <w:spacing w:before="300" w:after="300" w:line="320" w:lineRule="exact"/>
        <w:rPr>
          <w:rFonts w:ascii="宋体" w:eastAsia="宋体" w:hAnsi="宋体" w:cs="宋体"/>
          <w:b/>
          <w:bCs/>
          <w:sz w:val="24"/>
          <w:szCs w:val="24"/>
        </w:rPr>
      </w:pPr>
      <w:bookmarkStart w:id="60" w:name="_Toc988948"/>
      <w:r w:rsidRPr="00F50B51">
        <w:rPr>
          <w:rFonts w:ascii="宋体" w:eastAsia="宋体" w:hAnsi="宋体" w:cs="宋体"/>
          <w:b/>
          <w:bCs/>
          <w:sz w:val="24"/>
          <w:szCs w:val="24"/>
        </w:rPr>
        <w:t>六、董事会对上年度</w:t>
      </w:r>
      <w:r w:rsidRPr="00F50B51">
        <w:rPr>
          <w:rFonts w:ascii="宋体" w:eastAsia="宋体" w:hAnsi="宋体" w:cs="宋体"/>
          <w:b/>
          <w:bCs/>
          <w:sz w:val="24"/>
          <w:szCs w:val="24"/>
        </w:rPr>
        <w:t>“</w:t>
      </w:r>
      <w:r w:rsidRPr="00F50B51">
        <w:rPr>
          <w:rFonts w:ascii="宋体" w:eastAsia="宋体" w:hAnsi="宋体" w:cs="宋体"/>
          <w:b/>
          <w:bCs/>
          <w:sz w:val="24"/>
          <w:szCs w:val="24"/>
        </w:rPr>
        <w:t>非标准审计报告</w:t>
      </w:r>
      <w:r w:rsidRPr="00F50B51">
        <w:rPr>
          <w:rFonts w:ascii="宋体" w:eastAsia="宋体" w:hAnsi="宋体" w:cs="宋体"/>
          <w:b/>
          <w:bCs/>
          <w:sz w:val="24"/>
          <w:szCs w:val="24"/>
        </w:rPr>
        <w:t>”</w:t>
      </w:r>
      <w:r w:rsidRPr="00F50B51">
        <w:rPr>
          <w:rFonts w:ascii="宋体" w:eastAsia="宋体" w:hAnsi="宋体" w:cs="宋体"/>
          <w:b/>
          <w:bCs/>
          <w:sz w:val="24"/>
          <w:szCs w:val="24"/>
        </w:rPr>
        <w:t>相关情况的说明</w:t>
      </w:r>
      <w:bookmarkEnd w:id="60"/>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2"/>
        <w:spacing w:before="300" w:after="300" w:line="320" w:lineRule="exact"/>
        <w:rPr>
          <w:rFonts w:ascii="宋体" w:eastAsia="宋体" w:hAnsi="宋体" w:cs="宋体"/>
          <w:b/>
          <w:bCs/>
          <w:sz w:val="24"/>
          <w:szCs w:val="24"/>
        </w:rPr>
      </w:pPr>
      <w:bookmarkStart w:id="61" w:name="_Toc988949"/>
      <w:r w:rsidRPr="00F50B51">
        <w:rPr>
          <w:rFonts w:ascii="宋体" w:eastAsia="宋体" w:hAnsi="宋体" w:cs="宋体"/>
          <w:b/>
          <w:bCs/>
          <w:sz w:val="24"/>
          <w:szCs w:val="24"/>
        </w:rPr>
        <w:t>七、破产重整相关事项</w:t>
      </w:r>
      <w:bookmarkEnd w:id="61"/>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公司报告期未发生破产重整相关事项。</w:t>
      </w:r>
    </w:p>
    <w:p w:rsidR="0058782B" w:rsidRPr="00F50B51" w:rsidRDefault="00F80EE7">
      <w:pPr>
        <w:pStyle w:val="2"/>
        <w:spacing w:before="300" w:after="300" w:line="320" w:lineRule="exact"/>
        <w:rPr>
          <w:rFonts w:ascii="宋体" w:eastAsia="宋体" w:hAnsi="宋体" w:cs="宋体"/>
          <w:b/>
          <w:bCs/>
          <w:sz w:val="24"/>
          <w:szCs w:val="24"/>
        </w:rPr>
      </w:pPr>
      <w:bookmarkStart w:id="62" w:name="_Toc988950"/>
      <w:r w:rsidRPr="00F50B51">
        <w:rPr>
          <w:rFonts w:ascii="宋体" w:eastAsia="宋体" w:hAnsi="宋体" w:cs="宋体"/>
          <w:b/>
          <w:bCs/>
          <w:sz w:val="24"/>
          <w:szCs w:val="24"/>
        </w:rPr>
        <w:t>八、诉讼事项</w:t>
      </w:r>
      <w:bookmarkEnd w:id="62"/>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重大诉讼仲裁事项</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本报告期公司无重大诉讼、仲裁事项。</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其他诉讼事项</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4"/>
        <w:gridCol w:w="1205"/>
        <w:gridCol w:w="1205"/>
        <w:gridCol w:w="1205"/>
        <w:gridCol w:w="1205"/>
        <w:gridCol w:w="1205"/>
        <w:gridCol w:w="1205"/>
        <w:gridCol w:w="1205"/>
      </w:tblGrid>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诉讼</w:t>
            </w:r>
            <w:r w:rsidRPr="00F50B51">
              <w:rPr>
                <w:rFonts w:ascii="宋体" w:eastAsia="宋体" w:hAnsi="宋体" w:cs="宋体"/>
                <w:sz w:val="18"/>
                <w:szCs w:val="18"/>
              </w:rPr>
              <w:t>(</w:t>
            </w:r>
            <w:r w:rsidRPr="00F50B51">
              <w:rPr>
                <w:rFonts w:ascii="宋体" w:eastAsia="宋体" w:hAnsi="宋体" w:cs="宋体"/>
                <w:sz w:val="18"/>
                <w:szCs w:val="18"/>
              </w:rPr>
              <w:t>仲裁</w:t>
            </w:r>
            <w:r w:rsidRPr="00F50B51">
              <w:rPr>
                <w:rFonts w:ascii="宋体" w:eastAsia="宋体" w:hAnsi="宋体" w:cs="宋体"/>
                <w:sz w:val="18"/>
                <w:szCs w:val="18"/>
              </w:rPr>
              <w:t>)</w:t>
            </w:r>
            <w:r w:rsidRPr="00F50B51">
              <w:rPr>
                <w:rFonts w:ascii="宋体" w:eastAsia="宋体" w:hAnsi="宋体" w:cs="宋体"/>
                <w:sz w:val="18"/>
                <w:szCs w:val="18"/>
              </w:rPr>
              <w:t>基本情况</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涉案金额（万元）</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是否形成预计负债</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诉讼</w:t>
            </w:r>
            <w:r w:rsidRPr="00F50B51">
              <w:rPr>
                <w:rFonts w:ascii="宋体" w:eastAsia="宋体" w:hAnsi="宋体" w:cs="宋体"/>
                <w:sz w:val="18"/>
                <w:szCs w:val="18"/>
              </w:rPr>
              <w:t>(</w:t>
            </w:r>
            <w:r w:rsidRPr="00F50B51">
              <w:rPr>
                <w:rFonts w:ascii="宋体" w:eastAsia="宋体" w:hAnsi="宋体" w:cs="宋体"/>
                <w:sz w:val="18"/>
                <w:szCs w:val="18"/>
              </w:rPr>
              <w:t>仲裁</w:t>
            </w:r>
            <w:r w:rsidRPr="00F50B51">
              <w:rPr>
                <w:rFonts w:ascii="宋体" w:eastAsia="宋体" w:hAnsi="宋体" w:cs="宋体"/>
                <w:sz w:val="18"/>
                <w:szCs w:val="18"/>
              </w:rPr>
              <w:t>)</w:t>
            </w:r>
            <w:r w:rsidRPr="00F50B51">
              <w:rPr>
                <w:rFonts w:ascii="宋体" w:eastAsia="宋体" w:hAnsi="宋体" w:cs="宋体"/>
                <w:sz w:val="18"/>
                <w:szCs w:val="18"/>
              </w:rPr>
              <w:t>进展</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诉讼</w:t>
            </w:r>
            <w:r w:rsidRPr="00F50B51">
              <w:rPr>
                <w:rFonts w:ascii="宋体" w:eastAsia="宋体" w:hAnsi="宋体" w:cs="宋体"/>
                <w:sz w:val="18"/>
                <w:szCs w:val="18"/>
              </w:rPr>
              <w:t>(</w:t>
            </w:r>
            <w:r w:rsidRPr="00F50B51">
              <w:rPr>
                <w:rFonts w:ascii="宋体" w:eastAsia="宋体" w:hAnsi="宋体" w:cs="宋体"/>
                <w:sz w:val="18"/>
                <w:szCs w:val="18"/>
              </w:rPr>
              <w:t>仲裁</w:t>
            </w:r>
            <w:r w:rsidRPr="00F50B51">
              <w:rPr>
                <w:rFonts w:ascii="宋体" w:eastAsia="宋体" w:hAnsi="宋体" w:cs="宋体"/>
                <w:sz w:val="18"/>
                <w:szCs w:val="18"/>
              </w:rPr>
              <w:t>)</w:t>
            </w:r>
            <w:r w:rsidRPr="00F50B51">
              <w:rPr>
                <w:rFonts w:ascii="宋体" w:eastAsia="宋体" w:hAnsi="宋体" w:cs="宋体"/>
                <w:sz w:val="18"/>
                <w:szCs w:val="18"/>
              </w:rPr>
              <w:t>审理结果及影响</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诉讼</w:t>
            </w:r>
            <w:r w:rsidRPr="00F50B51">
              <w:rPr>
                <w:rFonts w:ascii="宋体" w:eastAsia="宋体" w:hAnsi="宋体" w:cs="宋体"/>
                <w:sz w:val="18"/>
                <w:szCs w:val="18"/>
              </w:rPr>
              <w:t>(</w:t>
            </w:r>
            <w:r w:rsidRPr="00F50B51">
              <w:rPr>
                <w:rFonts w:ascii="宋体" w:eastAsia="宋体" w:hAnsi="宋体" w:cs="宋体"/>
                <w:sz w:val="18"/>
                <w:szCs w:val="18"/>
              </w:rPr>
              <w:t>仲裁</w:t>
            </w:r>
            <w:r w:rsidRPr="00F50B51">
              <w:rPr>
                <w:rFonts w:ascii="宋体" w:eastAsia="宋体" w:hAnsi="宋体" w:cs="宋体"/>
                <w:sz w:val="18"/>
                <w:szCs w:val="18"/>
              </w:rPr>
              <w:t>)</w:t>
            </w:r>
            <w:r w:rsidRPr="00F50B51">
              <w:rPr>
                <w:rFonts w:ascii="宋体" w:eastAsia="宋体" w:hAnsi="宋体" w:cs="宋体"/>
                <w:sz w:val="18"/>
                <w:szCs w:val="18"/>
              </w:rPr>
              <w:t>判决执行情况</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披露日期</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披露索引</w:t>
            </w: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报告期内公司或子公司作为原告的非重大诉讼或仲裁事项</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61.62</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在审</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暂无</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暂无</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不适用</w:t>
            </w: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报告期内公司或子公司作为原告的非重大诉讼</w:t>
            </w:r>
            <w:r w:rsidRPr="00F50B51">
              <w:rPr>
                <w:rFonts w:ascii="宋体" w:eastAsia="宋体" w:hAnsi="宋体" w:cs="宋体"/>
                <w:sz w:val="18"/>
                <w:szCs w:val="18"/>
              </w:rPr>
              <w:lastRenderedPageBreak/>
              <w:t>或仲裁事项</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lastRenderedPageBreak/>
              <w:t>320</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结案</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未对子公司公司造成重大影响</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子公司已收回</w:t>
            </w:r>
            <w:r w:rsidRPr="00F50B51">
              <w:rPr>
                <w:rFonts w:ascii="宋体" w:eastAsia="宋体" w:hAnsi="宋体" w:cs="宋体"/>
                <w:sz w:val="18"/>
                <w:szCs w:val="18"/>
              </w:rPr>
              <w:t>53.15</w:t>
            </w:r>
            <w:r w:rsidRPr="00F50B51">
              <w:rPr>
                <w:rFonts w:ascii="宋体" w:eastAsia="宋体" w:hAnsi="宋体" w:cs="宋体"/>
                <w:sz w:val="18"/>
                <w:szCs w:val="18"/>
              </w:rPr>
              <w:t>万元，剩余金额尚待法院</w:t>
            </w:r>
            <w:r w:rsidRPr="00F50B51">
              <w:rPr>
                <w:rFonts w:ascii="宋体" w:eastAsia="宋体" w:hAnsi="宋体" w:cs="宋体"/>
                <w:sz w:val="18"/>
                <w:szCs w:val="18"/>
              </w:rPr>
              <w:lastRenderedPageBreak/>
              <w:t>执行</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不适用</w:t>
            </w: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报告期内公司或子公司作为被告告的非重大诉讼或仲裁事项</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1,223.79</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在审</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暂无</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暂无</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不适用</w:t>
            </w:r>
          </w:p>
        </w:tc>
      </w:tr>
    </w:tbl>
    <w:p w:rsidR="0058782B" w:rsidRPr="00F50B51" w:rsidRDefault="00F80EE7">
      <w:pPr>
        <w:pStyle w:val="2"/>
        <w:spacing w:before="300" w:after="300" w:line="320" w:lineRule="exact"/>
        <w:rPr>
          <w:rFonts w:ascii="宋体" w:eastAsia="宋体" w:hAnsi="宋体" w:cs="宋体"/>
          <w:b/>
          <w:bCs/>
          <w:sz w:val="24"/>
          <w:szCs w:val="24"/>
        </w:rPr>
      </w:pPr>
      <w:bookmarkStart w:id="63" w:name="_Toc988951"/>
      <w:r w:rsidRPr="00F50B51">
        <w:rPr>
          <w:rFonts w:ascii="宋体" w:eastAsia="宋体" w:hAnsi="宋体" w:cs="宋体"/>
          <w:b/>
          <w:bCs/>
          <w:sz w:val="24"/>
          <w:szCs w:val="24"/>
        </w:rPr>
        <w:t>九、处罚及整改情况</w:t>
      </w:r>
      <w:bookmarkEnd w:id="63"/>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2"/>
        <w:spacing w:before="300" w:after="300" w:line="320" w:lineRule="exact"/>
        <w:rPr>
          <w:rFonts w:ascii="宋体" w:eastAsia="宋体" w:hAnsi="宋体" w:cs="宋体"/>
          <w:b/>
          <w:bCs/>
          <w:sz w:val="24"/>
          <w:szCs w:val="24"/>
        </w:rPr>
      </w:pPr>
      <w:bookmarkStart w:id="64" w:name="_Toc988952"/>
      <w:r w:rsidRPr="00F50B51">
        <w:rPr>
          <w:rFonts w:ascii="宋体" w:eastAsia="宋体" w:hAnsi="宋体" w:cs="宋体"/>
          <w:b/>
          <w:bCs/>
          <w:sz w:val="24"/>
          <w:szCs w:val="24"/>
        </w:rPr>
        <w:t>十、公司及其控股股东、实际控制人的诚信状况</w:t>
      </w:r>
      <w:bookmarkEnd w:id="64"/>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2"/>
        <w:spacing w:before="300" w:after="300" w:line="320" w:lineRule="exact"/>
        <w:rPr>
          <w:rFonts w:ascii="宋体" w:eastAsia="宋体" w:hAnsi="宋体" w:cs="宋体"/>
          <w:b/>
          <w:bCs/>
          <w:sz w:val="24"/>
          <w:szCs w:val="24"/>
        </w:rPr>
      </w:pPr>
      <w:bookmarkStart w:id="65" w:name="_Toc988953"/>
      <w:r w:rsidRPr="00F50B51">
        <w:rPr>
          <w:rFonts w:ascii="宋体" w:eastAsia="宋体" w:hAnsi="宋体" w:cs="宋体"/>
          <w:b/>
          <w:bCs/>
          <w:sz w:val="24"/>
          <w:szCs w:val="24"/>
        </w:rPr>
        <w:t>十一、重大关联交易</w:t>
      </w:r>
      <w:bookmarkEnd w:id="65"/>
    </w:p>
    <w:p w:rsidR="0058782B" w:rsidRPr="00F50B51" w:rsidRDefault="00F80EE7">
      <w:pPr>
        <w:pStyle w:val="3"/>
        <w:spacing w:line="280" w:lineRule="exact"/>
        <w:jc w:val="left"/>
        <w:rPr>
          <w:rFonts w:ascii="宋体" w:hAnsi="宋体" w:cs="宋体"/>
          <w:b/>
          <w:bCs/>
        </w:rPr>
      </w:pPr>
      <w:bookmarkStart w:id="66" w:name="_Toc988954"/>
      <w:r w:rsidRPr="00F50B51">
        <w:rPr>
          <w:rFonts w:ascii="宋体" w:hAnsi="宋体" w:cs="宋体"/>
          <w:b/>
          <w:bCs/>
        </w:rPr>
        <w:t>1</w:t>
      </w:r>
      <w:r w:rsidRPr="00F50B51">
        <w:rPr>
          <w:rFonts w:ascii="宋体" w:hAnsi="宋体" w:cs="宋体"/>
          <w:b/>
          <w:bCs/>
        </w:rPr>
        <w:t>、与日常经营相关的关联交易</w:t>
      </w:r>
      <w:bookmarkEnd w:id="66"/>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公司报告期未发生与日常经营相关的关联交易。</w:t>
      </w:r>
    </w:p>
    <w:p w:rsidR="0058782B" w:rsidRPr="00F50B51" w:rsidRDefault="00F80EE7">
      <w:pPr>
        <w:pStyle w:val="3"/>
        <w:spacing w:line="280" w:lineRule="exact"/>
        <w:jc w:val="left"/>
        <w:rPr>
          <w:rFonts w:ascii="宋体" w:hAnsi="宋体" w:cs="宋体"/>
          <w:b/>
          <w:bCs/>
        </w:rPr>
      </w:pPr>
      <w:bookmarkStart w:id="67" w:name="_Toc988955"/>
      <w:r w:rsidRPr="00F50B51">
        <w:rPr>
          <w:rFonts w:ascii="宋体" w:hAnsi="宋体" w:cs="宋体"/>
          <w:b/>
          <w:bCs/>
        </w:rPr>
        <w:t>2</w:t>
      </w:r>
      <w:r w:rsidRPr="00F50B51">
        <w:rPr>
          <w:rFonts w:ascii="宋体" w:hAnsi="宋体" w:cs="宋体"/>
          <w:b/>
          <w:bCs/>
        </w:rPr>
        <w:t>、资产或股权收购、出售发生的关联交易</w:t>
      </w:r>
      <w:bookmarkEnd w:id="67"/>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公司报告期未发生资产或股权收购、出售的关联交易。</w:t>
      </w:r>
    </w:p>
    <w:p w:rsidR="0058782B" w:rsidRPr="00F50B51" w:rsidRDefault="00F80EE7">
      <w:pPr>
        <w:pStyle w:val="3"/>
        <w:spacing w:line="280" w:lineRule="exact"/>
        <w:jc w:val="left"/>
        <w:rPr>
          <w:rFonts w:ascii="宋体" w:hAnsi="宋体" w:cs="宋体"/>
          <w:b/>
          <w:bCs/>
        </w:rPr>
      </w:pPr>
      <w:bookmarkStart w:id="68" w:name="_Toc988956"/>
      <w:r w:rsidRPr="00F50B51">
        <w:rPr>
          <w:rFonts w:ascii="宋体" w:hAnsi="宋体" w:cs="宋体"/>
          <w:b/>
          <w:bCs/>
        </w:rPr>
        <w:t>3</w:t>
      </w:r>
      <w:r w:rsidRPr="00F50B51">
        <w:rPr>
          <w:rFonts w:ascii="宋体" w:hAnsi="宋体" w:cs="宋体"/>
          <w:b/>
          <w:bCs/>
        </w:rPr>
        <w:t>、共同对外投资的关联交易</w:t>
      </w:r>
      <w:bookmarkEnd w:id="68"/>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公司报告期未发生共同对外投资的关联交易。</w:t>
      </w:r>
    </w:p>
    <w:p w:rsidR="0058782B" w:rsidRPr="00F50B51" w:rsidRDefault="00F80EE7">
      <w:pPr>
        <w:pStyle w:val="3"/>
        <w:spacing w:line="280" w:lineRule="exact"/>
        <w:jc w:val="left"/>
        <w:rPr>
          <w:rFonts w:ascii="宋体" w:hAnsi="宋体" w:cs="宋体"/>
          <w:b/>
          <w:bCs/>
        </w:rPr>
      </w:pPr>
      <w:bookmarkStart w:id="69" w:name="_Toc988957"/>
      <w:r w:rsidRPr="00F50B51">
        <w:rPr>
          <w:rFonts w:ascii="宋体" w:hAnsi="宋体" w:cs="宋体"/>
          <w:b/>
          <w:bCs/>
        </w:rPr>
        <w:t>4</w:t>
      </w:r>
      <w:r w:rsidRPr="00F50B51">
        <w:rPr>
          <w:rFonts w:ascii="宋体" w:hAnsi="宋体" w:cs="宋体"/>
          <w:b/>
          <w:bCs/>
        </w:rPr>
        <w:t>、关联债权债务往来</w:t>
      </w:r>
      <w:bookmarkEnd w:id="69"/>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公司报告期不存在关联债权债务往来。</w:t>
      </w:r>
    </w:p>
    <w:p w:rsidR="0058782B" w:rsidRPr="00F50B51" w:rsidRDefault="00F80EE7">
      <w:pPr>
        <w:pStyle w:val="3"/>
        <w:spacing w:line="280" w:lineRule="exact"/>
        <w:jc w:val="left"/>
        <w:rPr>
          <w:rFonts w:ascii="宋体" w:hAnsi="宋体" w:cs="宋体"/>
          <w:b/>
          <w:bCs/>
        </w:rPr>
      </w:pPr>
      <w:bookmarkStart w:id="70" w:name="_Toc988958"/>
      <w:r w:rsidRPr="00F50B51">
        <w:rPr>
          <w:rFonts w:ascii="宋体" w:hAnsi="宋体" w:cs="宋体"/>
          <w:b/>
          <w:bCs/>
        </w:rPr>
        <w:t>5</w:t>
      </w:r>
      <w:r w:rsidRPr="00F50B51">
        <w:rPr>
          <w:rFonts w:ascii="宋体" w:hAnsi="宋体" w:cs="宋体"/>
          <w:b/>
          <w:bCs/>
        </w:rPr>
        <w:t>、与存在关联关系的财务公司的往来情况</w:t>
      </w:r>
      <w:bookmarkEnd w:id="70"/>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公司与存在关联关系的财务公司与关联方之间不存在存款、贷款、授信或其他金融业务。</w:t>
      </w:r>
    </w:p>
    <w:p w:rsidR="0058782B" w:rsidRPr="00F50B51" w:rsidRDefault="00F80EE7">
      <w:pPr>
        <w:pStyle w:val="3"/>
        <w:spacing w:line="280" w:lineRule="exact"/>
        <w:jc w:val="left"/>
        <w:rPr>
          <w:rFonts w:ascii="宋体" w:hAnsi="宋体" w:cs="宋体"/>
          <w:b/>
          <w:bCs/>
        </w:rPr>
      </w:pPr>
      <w:bookmarkStart w:id="71" w:name="_Toc988959"/>
      <w:r w:rsidRPr="00F50B51">
        <w:rPr>
          <w:rFonts w:ascii="宋体" w:hAnsi="宋体" w:cs="宋体"/>
          <w:b/>
          <w:bCs/>
        </w:rPr>
        <w:t>6</w:t>
      </w:r>
      <w:r w:rsidRPr="00F50B51">
        <w:rPr>
          <w:rFonts w:ascii="宋体" w:hAnsi="宋体" w:cs="宋体"/>
          <w:b/>
          <w:bCs/>
        </w:rPr>
        <w:t>、公司控股的财务公司与关联方的往来情况</w:t>
      </w:r>
      <w:bookmarkEnd w:id="71"/>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公司控股的财务公司与关联方之间不存在存款、贷款、授信或其他金融业务。</w:t>
      </w:r>
    </w:p>
    <w:p w:rsidR="0058782B" w:rsidRPr="00F50B51" w:rsidRDefault="00F80EE7">
      <w:pPr>
        <w:pStyle w:val="3"/>
        <w:spacing w:line="280" w:lineRule="exact"/>
        <w:jc w:val="left"/>
        <w:rPr>
          <w:rFonts w:ascii="宋体" w:hAnsi="宋体" w:cs="宋体"/>
          <w:b/>
          <w:bCs/>
        </w:rPr>
      </w:pPr>
      <w:bookmarkStart w:id="72" w:name="_Toc988960"/>
      <w:r w:rsidRPr="00F50B51">
        <w:rPr>
          <w:rFonts w:ascii="宋体" w:hAnsi="宋体" w:cs="宋体"/>
          <w:b/>
          <w:bCs/>
        </w:rPr>
        <w:lastRenderedPageBreak/>
        <w:t>7</w:t>
      </w:r>
      <w:r w:rsidRPr="00F50B51">
        <w:rPr>
          <w:rFonts w:ascii="宋体" w:hAnsi="宋体" w:cs="宋体"/>
          <w:b/>
          <w:bCs/>
        </w:rPr>
        <w:t>、其他重大关联交易</w:t>
      </w:r>
      <w:bookmarkEnd w:id="72"/>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公司报告期无其他重大关联交易。</w:t>
      </w:r>
    </w:p>
    <w:p w:rsidR="0058782B" w:rsidRPr="00F50B51" w:rsidRDefault="00F80EE7">
      <w:pPr>
        <w:pStyle w:val="2"/>
        <w:spacing w:before="300" w:after="300" w:line="320" w:lineRule="exact"/>
        <w:rPr>
          <w:rFonts w:ascii="宋体" w:eastAsia="宋体" w:hAnsi="宋体" w:cs="宋体"/>
          <w:b/>
          <w:bCs/>
          <w:sz w:val="24"/>
          <w:szCs w:val="24"/>
        </w:rPr>
      </w:pPr>
      <w:bookmarkStart w:id="73" w:name="_Toc988961"/>
      <w:r w:rsidRPr="00F50B51">
        <w:rPr>
          <w:rFonts w:ascii="宋体" w:eastAsia="宋体" w:hAnsi="宋体" w:cs="宋体"/>
          <w:b/>
          <w:bCs/>
          <w:sz w:val="24"/>
          <w:szCs w:val="24"/>
        </w:rPr>
        <w:t>十二、重大合同及其履行情况</w:t>
      </w:r>
      <w:bookmarkEnd w:id="73"/>
    </w:p>
    <w:p w:rsidR="0058782B" w:rsidRPr="00F50B51" w:rsidRDefault="00F80EE7">
      <w:pPr>
        <w:pStyle w:val="3"/>
        <w:spacing w:line="280" w:lineRule="exact"/>
        <w:jc w:val="left"/>
        <w:rPr>
          <w:rFonts w:ascii="宋体" w:hAnsi="宋体" w:cs="宋体"/>
          <w:b/>
          <w:bCs/>
        </w:rPr>
      </w:pPr>
      <w:bookmarkStart w:id="74" w:name="_Toc988962"/>
      <w:r w:rsidRPr="00F50B51">
        <w:rPr>
          <w:rFonts w:ascii="宋体" w:hAnsi="宋体" w:cs="宋体"/>
          <w:b/>
          <w:bCs/>
        </w:rPr>
        <w:t>1</w:t>
      </w:r>
      <w:r w:rsidRPr="00F50B51">
        <w:rPr>
          <w:rFonts w:ascii="宋体" w:hAnsi="宋体" w:cs="宋体"/>
          <w:b/>
          <w:bCs/>
        </w:rPr>
        <w:t>、托管、承包、租赁事项情况</w:t>
      </w:r>
      <w:bookmarkEnd w:id="74"/>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75" w:name="_Toc988963"/>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托管情况</w:t>
      </w:r>
      <w:bookmarkEnd w:id="75"/>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公司报告期不存在托管情况。</w:t>
      </w: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76" w:name="_Toc988964"/>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承包情况</w:t>
      </w:r>
      <w:bookmarkEnd w:id="76"/>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公司报告期不存在承包情况。</w:t>
      </w: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77" w:name="_Toc988965"/>
      <w:r w:rsidRPr="00F50B51">
        <w:rPr>
          <w:rFonts w:ascii="宋体" w:eastAsia="宋体" w:hAnsi="宋体" w:cs="宋体"/>
          <w:b/>
          <w:bCs/>
          <w:sz w:val="18"/>
          <w:szCs w:val="18"/>
        </w:rPr>
        <w:t>（</w:t>
      </w:r>
      <w:r w:rsidRPr="00F50B51">
        <w:rPr>
          <w:rFonts w:ascii="宋体" w:eastAsia="宋体" w:hAnsi="宋体" w:cs="宋体"/>
          <w:b/>
          <w:bCs/>
          <w:sz w:val="18"/>
          <w:szCs w:val="18"/>
        </w:rPr>
        <w:t>3</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租赁情况</w:t>
      </w:r>
      <w:bookmarkEnd w:id="77"/>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公司报告期不存在租赁情况。</w:t>
      </w:r>
    </w:p>
    <w:p w:rsidR="0058782B" w:rsidRPr="00F50B51" w:rsidRDefault="00F80EE7">
      <w:pPr>
        <w:pStyle w:val="3"/>
        <w:spacing w:line="280" w:lineRule="exact"/>
        <w:jc w:val="left"/>
        <w:rPr>
          <w:rFonts w:ascii="宋体" w:hAnsi="宋体" w:cs="宋体"/>
          <w:b/>
          <w:bCs/>
        </w:rPr>
      </w:pPr>
      <w:bookmarkStart w:id="78" w:name="_Toc988966"/>
      <w:r w:rsidRPr="00F50B51">
        <w:rPr>
          <w:rFonts w:ascii="宋体" w:hAnsi="宋体" w:cs="宋体"/>
          <w:b/>
          <w:bCs/>
        </w:rPr>
        <w:t>2</w:t>
      </w:r>
      <w:r w:rsidRPr="00F50B51">
        <w:rPr>
          <w:rFonts w:ascii="宋体" w:hAnsi="宋体" w:cs="宋体"/>
          <w:b/>
          <w:bCs/>
        </w:rPr>
        <w:t>、重大担保</w:t>
      </w:r>
      <w:bookmarkEnd w:id="78"/>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单位：万元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5"/>
        <w:gridCol w:w="877"/>
        <w:gridCol w:w="876"/>
        <w:gridCol w:w="877"/>
        <w:gridCol w:w="876"/>
        <w:gridCol w:w="877"/>
        <w:gridCol w:w="876"/>
        <w:gridCol w:w="876"/>
        <w:gridCol w:w="876"/>
        <w:gridCol w:w="876"/>
        <w:gridCol w:w="877"/>
      </w:tblGrid>
      <w:tr w:rsidR="0058782B" w:rsidRPr="00F50B51">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公司及其子公司对外担保情况（不包括对子公司的担保）</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担保对象名称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担保额度相关公告披露日期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担保额度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实际发生日期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实际担保金额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担保类型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担保物（如有）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反担保情况（如有）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是否履行完毕</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是否为关联方担保</w:t>
            </w:r>
          </w:p>
        </w:tc>
      </w:tr>
      <w:tr w:rsidR="0058782B" w:rsidRPr="00F50B51">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公司对子公司的担保情况</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担保对象名称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担保额度相关公告披露日期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担保额度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实际发生日期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实际担保金额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担保类型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担保物（如有）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反担保情况（如有）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是否履行完毕</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是否为关联方担保</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04</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16</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连带责任担保</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年</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是</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04</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07</w:t>
            </w:r>
            <w:r w:rsidRPr="00F50B51">
              <w:rPr>
                <w:rFonts w:ascii="宋体" w:eastAsia="宋体" w:hAnsi="宋体" w:cs="宋体"/>
                <w:sz w:val="18"/>
                <w:szCs w:val="18"/>
              </w:rPr>
              <w:t>月</w:t>
            </w:r>
            <w:r w:rsidRPr="00F50B51">
              <w:rPr>
                <w:rFonts w:ascii="宋体" w:eastAsia="宋体" w:hAnsi="宋体" w:cs="宋体"/>
                <w:sz w:val="18"/>
                <w:szCs w:val="18"/>
              </w:rPr>
              <w:t>01</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连带责任担保</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年</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是</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w:t>
            </w:r>
            <w:r w:rsidRPr="00F50B51">
              <w:rPr>
                <w:rFonts w:ascii="宋体" w:eastAsia="宋体" w:hAnsi="宋体" w:cs="宋体"/>
                <w:sz w:val="18"/>
                <w:szCs w:val="18"/>
              </w:rPr>
              <w:lastRenderedPageBreak/>
              <w:t>司</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2022</w:t>
            </w:r>
            <w:r w:rsidRPr="00F50B51">
              <w:rPr>
                <w:rFonts w:ascii="宋体" w:eastAsia="宋体" w:hAnsi="宋体" w:cs="宋体"/>
                <w:sz w:val="18"/>
                <w:szCs w:val="18"/>
              </w:rPr>
              <w:t>年</w:t>
            </w:r>
            <w:r w:rsidRPr="00F50B51">
              <w:rPr>
                <w:rFonts w:ascii="宋体" w:eastAsia="宋体" w:hAnsi="宋体" w:cs="宋体"/>
                <w:sz w:val="18"/>
                <w:szCs w:val="18"/>
              </w:rPr>
              <w:t>04</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11</w:t>
            </w:r>
            <w:r w:rsidRPr="00F50B51">
              <w:rPr>
                <w:rFonts w:ascii="宋体" w:eastAsia="宋体" w:hAnsi="宋体" w:cs="宋体"/>
                <w:sz w:val="18"/>
                <w:szCs w:val="18"/>
              </w:rPr>
              <w:t>月</w:t>
            </w:r>
            <w:r w:rsidRPr="00F50B51">
              <w:rPr>
                <w:rFonts w:ascii="宋体" w:eastAsia="宋体" w:hAnsi="宋体" w:cs="宋体"/>
                <w:sz w:val="18"/>
                <w:szCs w:val="18"/>
              </w:rPr>
              <w:t>06</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连带责任担保</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6</w:t>
            </w:r>
            <w:r w:rsidRPr="00F50B51">
              <w:rPr>
                <w:rFonts w:ascii="宋体" w:eastAsia="宋体" w:hAnsi="宋体" w:cs="宋体"/>
                <w:sz w:val="18"/>
                <w:szCs w:val="18"/>
              </w:rPr>
              <w:t>年</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是</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江西翔鹭钨业有限公司</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04</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18</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连带责任担保</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年</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是</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04</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2019</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09</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连带责任担保</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年</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是</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是</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04</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03</w:t>
            </w:r>
            <w:r w:rsidRPr="00F50B51">
              <w:rPr>
                <w:rFonts w:ascii="宋体" w:eastAsia="宋体" w:hAnsi="宋体" w:cs="宋体"/>
                <w:sz w:val="18"/>
                <w:szCs w:val="18"/>
              </w:rPr>
              <w:t>月</w:t>
            </w:r>
            <w:r w:rsidRPr="00F50B51">
              <w:rPr>
                <w:rFonts w:ascii="宋体" w:eastAsia="宋体" w:hAnsi="宋体" w:cs="宋体"/>
                <w:sz w:val="18"/>
                <w:szCs w:val="18"/>
              </w:rPr>
              <w:t>23</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连带责任担保</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年</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是</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广东翔鹭精密制造有限公司</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04</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报告期内审批对子公司担保额度合计（</w:t>
            </w:r>
            <w:r w:rsidRPr="00F50B51">
              <w:rPr>
                <w:rFonts w:ascii="宋体" w:eastAsia="宋体" w:hAnsi="宋体" w:cs="宋体"/>
                <w:sz w:val="18"/>
                <w:szCs w:val="18"/>
              </w:rPr>
              <w:t>B1</w:t>
            </w:r>
            <w:r w:rsidRPr="00F50B51">
              <w:rPr>
                <w:rFonts w:ascii="宋体" w:eastAsia="宋体" w:hAnsi="宋体" w:cs="宋体"/>
                <w:sz w:val="18"/>
                <w:szCs w:val="18"/>
              </w:rPr>
              <w:t>）</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报告期内对子公司担保实际发生额合计（</w:t>
            </w:r>
            <w:r w:rsidRPr="00F50B51">
              <w:rPr>
                <w:rFonts w:ascii="宋体" w:eastAsia="宋体" w:hAnsi="宋体" w:cs="宋体"/>
                <w:sz w:val="18"/>
                <w:szCs w:val="18"/>
              </w:rPr>
              <w:t>B2</w:t>
            </w:r>
            <w:r w:rsidRPr="00F50B51">
              <w:rPr>
                <w:rFonts w:ascii="宋体" w:eastAsia="宋体" w:hAnsi="宋体" w:cs="宋体"/>
                <w:sz w:val="18"/>
                <w:szCs w:val="18"/>
              </w:rPr>
              <w:t>）</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13,000</w:t>
            </w:r>
          </w:p>
        </w:tc>
      </w:tr>
      <w:tr w:rsidR="0058782B" w:rsidRPr="00F50B51">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报告期末已审批的对子公司担保额度合计（</w:t>
            </w:r>
            <w:r w:rsidRPr="00F50B51">
              <w:rPr>
                <w:rFonts w:ascii="宋体" w:eastAsia="宋体" w:hAnsi="宋体" w:cs="宋体"/>
                <w:sz w:val="18"/>
                <w:szCs w:val="18"/>
              </w:rPr>
              <w:t>B3</w:t>
            </w:r>
            <w:r w:rsidRPr="00F50B51">
              <w:rPr>
                <w:rFonts w:ascii="宋体" w:eastAsia="宋体" w:hAnsi="宋体" w:cs="宋体"/>
                <w:sz w:val="18"/>
                <w:szCs w:val="18"/>
              </w:rPr>
              <w:t>）</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报告期末对子公司实际担保余额合计（</w:t>
            </w:r>
            <w:r w:rsidRPr="00F50B51">
              <w:rPr>
                <w:rFonts w:ascii="宋体" w:eastAsia="宋体" w:hAnsi="宋体" w:cs="宋体"/>
                <w:sz w:val="18"/>
                <w:szCs w:val="18"/>
              </w:rPr>
              <w:t>B4</w:t>
            </w:r>
            <w:r w:rsidRPr="00F50B51">
              <w:rPr>
                <w:rFonts w:ascii="宋体" w:eastAsia="宋体" w:hAnsi="宋体" w:cs="宋体"/>
                <w:sz w:val="18"/>
                <w:szCs w:val="18"/>
              </w:rPr>
              <w:t>）</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50,600</w:t>
            </w:r>
          </w:p>
        </w:tc>
      </w:tr>
      <w:tr w:rsidR="0058782B" w:rsidRPr="00F50B51">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子公司对子公司的担保情况</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担保对象名称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担保额度相关公告披露日期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担保额度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实际发生日期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实际担保金额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担保类型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担保物（如有）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反担保情况（如有）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是否履行完毕</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是否为关联方担保</w:t>
            </w:r>
          </w:p>
        </w:tc>
      </w:tr>
      <w:tr w:rsidR="0058782B" w:rsidRPr="00F50B51">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公司担保总额（即前三大项的合计）</w:t>
            </w:r>
          </w:p>
        </w:tc>
      </w:tr>
      <w:tr w:rsidR="0058782B" w:rsidRPr="00F50B51">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报告期内审批担保额度合计（</w:t>
            </w:r>
            <w:r w:rsidRPr="00F50B51">
              <w:rPr>
                <w:rFonts w:ascii="宋体" w:eastAsia="宋体" w:hAnsi="宋体" w:cs="宋体"/>
                <w:sz w:val="18"/>
                <w:szCs w:val="18"/>
              </w:rPr>
              <w:t>A1+B1+C1</w:t>
            </w:r>
            <w:r w:rsidRPr="00F50B51">
              <w:rPr>
                <w:rFonts w:ascii="宋体" w:eastAsia="宋体" w:hAnsi="宋体" w:cs="宋体"/>
                <w:sz w:val="18"/>
                <w:szCs w:val="18"/>
              </w:rPr>
              <w:t>）</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报告期内担保实际发生额合计（</w:t>
            </w:r>
            <w:r w:rsidRPr="00F50B51">
              <w:rPr>
                <w:rFonts w:ascii="宋体" w:eastAsia="宋体" w:hAnsi="宋体" w:cs="宋体"/>
                <w:sz w:val="18"/>
                <w:szCs w:val="18"/>
              </w:rPr>
              <w:t>A2+B2+C2</w:t>
            </w:r>
            <w:r w:rsidRPr="00F50B51">
              <w:rPr>
                <w:rFonts w:ascii="宋体" w:eastAsia="宋体" w:hAnsi="宋体" w:cs="宋体"/>
                <w:sz w:val="18"/>
                <w:szCs w:val="18"/>
              </w:rPr>
              <w:t>）</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13,000</w:t>
            </w:r>
          </w:p>
        </w:tc>
      </w:tr>
      <w:tr w:rsidR="0058782B" w:rsidRPr="00F50B51">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报告期末已审批的担保额度合计（</w:t>
            </w:r>
            <w:r w:rsidRPr="00F50B51">
              <w:rPr>
                <w:rFonts w:ascii="宋体" w:eastAsia="宋体" w:hAnsi="宋体" w:cs="宋体"/>
                <w:sz w:val="18"/>
                <w:szCs w:val="18"/>
              </w:rPr>
              <w:t>A3+B3+C3</w:t>
            </w:r>
            <w:r w:rsidRPr="00F50B51">
              <w:rPr>
                <w:rFonts w:ascii="宋体" w:eastAsia="宋体" w:hAnsi="宋体" w:cs="宋体"/>
                <w:sz w:val="18"/>
                <w:szCs w:val="18"/>
              </w:rPr>
              <w:t>）</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报告期末实际担保余额合计（</w:t>
            </w:r>
            <w:r w:rsidRPr="00F50B51">
              <w:rPr>
                <w:rFonts w:ascii="宋体" w:eastAsia="宋体" w:hAnsi="宋体" w:cs="宋体"/>
                <w:sz w:val="18"/>
                <w:szCs w:val="18"/>
              </w:rPr>
              <w:t>A4+B4+C4</w:t>
            </w:r>
            <w:r w:rsidRPr="00F50B51">
              <w:rPr>
                <w:rFonts w:ascii="宋体" w:eastAsia="宋体" w:hAnsi="宋体" w:cs="宋体"/>
                <w:sz w:val="18"/>
                <w:szCs w:val="18"/>
              </w:rPr>
              <w:t>）</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50,600</w:t>
            </w:r>
          </w:p>
        </w:tc>
      </w:tr>
      <w:tr w:rsidR="0058782B" w:rsidRPr="00F50B51">
        <w:trPr>
          <w:trHeight w:val="240"/>
        </w:trPr>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实际担保总额（即</w:t>
            </w:r>
            <w:r w:rsidRPr="00F50B51">
              <w:rPr>
                <w:rFonts w:ascii="宋体" w:eastAsia="宋体" w:hAnsi="宋体" w:cs="宋体"/>
                <w:sz w:val="18"/>
                <w:szCs w:val="18"/>
              </w:rPr>
              <w:t>A4+B4+C4</w:t>
            </w:r>
            <w:r w:rsidRPr="00F50B51">
              <w:rPr>
                <w:rFonts w:ascii="宋体" w:eastAsia="宋体" w:hAnsi="宋体" w:cs="宋体"/>
                <w:sz w:val="18"/>
                <w:szCs w:val="18"/>
              </w:rPr>
              <w:t>）占公司净资产的比例</w:t>
            </w:r>
          </w:p>
        </w:tc>
        <w:tc>
          <w:tcPr>
            <w:tcW w:w="6134"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50.29%</w:t>
            </w:r>
          </w:p>
        </w:tc>
      </w:tr>
      <w:tr w:rsidR="0058782B" w:rsidRPr="00F50B51">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w:t>
            </w:r>
          </w:p>
        </w:tc>
      </w:tr>
      <w:tr w:rsidR="0058782B" w:rsidRPr="00F50B51">
        <w:trPr>
          <w:trHeight w:val="240"/>
        </w:trPr>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为股东、实际控制人及其关联方提供担保的余额（</w:t>
            </w:r>
            <w:r w:rsidRPr="00F50B51">
              <w:rPr>
                <w:rFonts w:ascii="宋体" w:eastAsia="宋体" w:hAnsi="宋体" w:cs="宋体"/>
                <w:sz w:val="18"/>
                <w:szCs w:val="18"/>
              </w:rPr>
              <w:t>D</w:t>
            </w:r>
            <w:r w:rsidRPr="00F50B51">
              <w:rPr>
                <w:rFonts w:ascii="宋体" w:eastAsia="宋体" w:hAnsi="宋体" w:cs="宋体"/>
                <w:sz w:val="18"/>
                <w:szCs w:val="18"/>
              </w:rPr>
              <w:t>）</w:t>
            </w:r>
          </w:p>
        </w:tc>
        <w:tc>
          <w:tcPr>
            <w:tcW w:w="6134"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r>
      <w:tr w:rsidR="0058782B" w:rsidRPr="00F50B51">
        <w:trPr>
          <w:trHeight w:val="240"/>
        </w:trPr>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直接或间接为资产负债率超过</w:t>
            </w:r>
            <w:r w:rsidRPr="00F50B51">
              <w:rPr>
                <w:rFonts w:ascii="宋体" w:eastAsia="宋体" w:hAnsi="宋体" w:cs="宋体"/>
                <w:sz w:val="18"/>
                <w:szCs w:val="18"/>
              </w:rPr>
              <w:t>70%</w:t>
            </w:r>
            <w:r w:rsidRPr="00F50B51">
              <w:rPr>
                <w:rFonts w:ascii="宋体" w:eastAsia="宋体" w:hAnsi="宋体" w:cs="宋体"/>
                <w:sz w:val="18"/>
                <w:szCs w:val="18"/>
              </w:rPr>
              <w:t>的被担保对象提供的债务担保余额（</w:t>
            </w:r>
            <w:r w:rsidRPr="00F50B51">
              <w:rPr>
                <w:rFonts w:ascii="宋体" w:eastAsia="宋体" w:hAnsi="宋体" w:cs="宋体"/>
                <w:sz w:val="18"/>
                <w:szCs w:val="18"/>
              </w:rPr>
              <w:t>E</w:t>
            </w:r>
            <w:r w:rsidRPr="00F50B51">
              <w:rPr>
                <w:rFonts w:ascii="宋体" w:eastAsia="宋体" w:hAnsi="宋体" w:cs="宋体"/>
                <w:sz w:val="18"/>
                <w:szCs w:val="18"/>
              </w:rPr>
              <w:t>）</w:t>
            </w:r>
          </w:p>
        </w:tc>
        <w:tc>
          <w:tcPr>
            <w:tcW w:w="6134"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r>
      <w:tr w:rsidR="0058782B" w:rsidRPr="00F50B51">
        <w:trPr>
          <w:trHeight w:val="240"/>
        </w:trPr>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担保总额超过净资产</w:t>
            </w:r>
            <w:r w:rsidRPr="00F50B51">
              <w:rPr>
                <w:rFonts w:ascii="宋体" w:eastAsia="宋体" w:hAnsi="宋体" w:cs="宋体"/>
                <w:sz w:val="18"/>
                <w:szCs w:val="18"/>
              </w:rPr>
              <w:t>50%</w:t>
            </w:r>
            <w:r w:rsidRPr="00F50B51">
              <w:rPr>
                <w:rFonts w:ascii="宋体" w:eastAsia="宋体" w:hAnsi="宋体" w:cs="宋体"/>
                <w:sz w:val="18"/>
                <w:szCs w:val="18"/>
              </w:rPr>
              <w:t>部分的金额（</w:t>
            </w:r>
            <w:r w:rsidRPr="00F50B51">
              <w:rPr>
                <w:rFonts w:ascii="宋体" w:eastAsia="宋体" w:hAnsi="宋体" w:cs="宋体"/>
                <w:sz w:val="18"/>
                <w:szCs w:val="18"/>
              </w:rPr>
              <w:t>F</w:t>
            </w:r>
            <w:r w:rsidRPr="00F50B51">
              <w:rPr>
                <w:rFonts w:ascii="宋体" w:eastAsia="宋体" w:hAnsi="宋体" w:cs="宋体"/>
                <w:sz w:val="18"/>
                <w:szCs w:val="18"/>
              </w:rPr>
              <w:t>）</w:t>
            </w:r>
          </w:p>
        </w:tc>
        <w:tc>
          <w:tcPr>
            <w:tcW w:w="6134"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289.47</w:t>
            </w:r>
          </w:p>
        </w:tc>
      </w:tr>
      <w:tr w:rsidR="0058782B" w:rsidRPr="00F50B51">
        <w:trPr>
          <w:trHeight w:val="240"/>
        </w:trPr>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上述三项担保金额合计（</w:t>
            </w:r>
            <w:r w:rsidRPr="00F50B51">
              <w:rPr>
                <w:rFonts w:ascii="宋体" w:eastAsia="宋体" w:hAnsi="宋体" w:cs="宋体"/>
                <w:sz w:val="18"/>
                <w:szCs w:val="18"/>
              </w:rPr>
              <w:t>D+E+F</w:t>
            </w:r>
            <w:r w:rsidRPr="00F50B51">
              <w:rPr>
                <w:rFonts w:ascii="宋体" w:eastAsia="宋体" w:hAnsi="宋体" w:cs="宋体"/>
                <w:sz w:val="18"/>
                <w:szCs w:val="18"/>
              </w:rPr>
              <w:t>）</w:t>
            </w:r>
          </w:p>
        </w:tc>
        <w:tc>
          <w:tcPr>
            <w:tcW w:w="6134"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289.47</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采用复合方式担保的具体情况说明</w:t>
      </w:r>
    </w:p>
    <w:p w:rsidR="0058782B" w:rsidRPr="00F50B51" w:rsidRDefault="00F80EE7">
      <w:pPr>
        <w:pStyle w:val="a7"/>
        <w:rPr>
          <w:sz w:val="18"/>
          <w:szCs w:val="18"/>
        </w:rPr>
      </w:pPr>
      <w:r w:rsidRPr="00F50B51">
        <w:rPr>
          <w:rFonts w:hint="eastAsia"/>
          <w:sz w:val="18"/>
          <w:szCs w:val="18"/>
        </w:rPr>
        <w:t>无</w:t>
      </w:r>
    </w:p>
    <w:p w:rsidR="0058782B" w:rsidRPr="00F50B51" w:rsidRDefault="00F80EE7">
      <w:pPr>
        <w:pStyle w:val="3"/>
        <w:spacing w:line="280" w:lineRule="exact"/>
        <w:jc w:val="left"/>
        <w:rPr>
          <w:rFonts w:ascii="宋体" w:hAnsi="宋体" w:cs="宋体"/>
          <w:b/>
          <w:bCs/>
        </w:rPr>
      </w:pPr>
      <w:bookmarkStart w:id="79" w:name="_Toc988967"/>
      <w:r w:rsidRPr="00F50B51">
        <w:rPr>
          <w:rFonts w:ascii="宋体" w:hAnsi="宋体" w:cs="宋体"/>
          <w:b/>
          <w:bCs/>
        </w:rPr>
        <w:t>3</w:t>
      </w:r>
      <w:r w:rsidRPr="00F50B51">
        <w:rPr>
          <w:rFonts w:ascii="宋体" w:hAnsi="宋体" w:cs="宋体"/>
          <w:b/>
          <w:bCs/>
        </w:rPr>
        <w:t>、委托理财</w:t>
      </w:r>
      <w:bookmarkEnd w:id="79"/>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lastRenderedPageBreak/>
        <w:t>公司报告期不存在委托理财。</w:t>
      </w:r>
    </w:p>
    <w:p w:rsidR="0058782B" w:rsidRPr="00F50B51" w:rsidRDefault="00F80EE7">
      <w:pPr>
        <w:pStyle w:val="3"/>
        <w:spacing w:line="280" w:lineRule="exact"/>
        <w:jc w:val="left"/>
        <w:rPr>
          <w:rFonts w:ascii="宋体" w:hAnsi="宋体" w:cs="宋体"/>
          <w:b/>
          <w:bCs/>
        </w:rPr>
      </w:pPr>
      <w:bookmarkStart w:id="80" w:name="_Toc988968"/>
      <w:r w:rsidRPr="00F50B51">
        <w:rPr>
          <w:rFonts w:ascii="宋体" w:hAnsi="宋体" w:cs="宋体"/>
          <w:b/>
          <w:bCs/>
        </w:rPr>
        <w:t>4</w:t>
      </w:r>
      <w:r w:rsidRPr="00F50B51">
        <w:rPr>
          <w:rFonts w:ascii="宋体" w:hAnsi="宋体" w:cs="宋体"/>
          <w:b/>
          <w:bCs/>
        </w:rPr>
        <w:t>、其他重大合同</w:t>
      </w:r>
      <w:bookmarkEnd w:id="80"/>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公司报告期不存在其他重大合同。</w:t>
      </w:r>
    </w:p>
    <w:p w:rsidR="0058782B" w:rsidRPr="00F50B51" w:rsidRDefault="00F80EE7">
      <w:pPr>
        <w:pStyle w:val="2"/>
        <w:spacing w:before="300" w:after="300" w:line="320" w:lineRule="exact"/>
        <w:rPr>
          <w:rFonts w:ascii="宋体" w:eastAsia="宋体" w:hAnsi="宋体" w:cs="宋体"/>
          <w:b/>
          <w:bCs/>
          <w:sz w:val="24"/>
          <w:szCs w:val="24"/>
        </w:rPr>
      </w:pPr>
      <w:bookmarkStart w:id="81" w:name="_Toc988969"/>
      <w:r w:rsidRPr="00F50B51">
        <w:rPr>
          <w:rFonts w:ascii="宋体" w:eastAsia="宋体" w:hAnsi="宋体" w:cs="宋体"/>
          <w:b/>
          <w:bCs/>
          <w:sz w:val="24"/>
          <w:szCs w:val="24"/>
        </w:rPr>
        <w:t>十三、其他重大事项的说明</w:t>
      </w:r>
      <w:bookmarkEnd w:id="81"/>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公司报告期不存在需要说明的其他重大事项。</w:t>
      </w:r>
    </w:p>
    <w:p w:rsidR="0058782B" w:rsidRPr="00F50B51" w:rsidRDefault="00F80EE7">
      <w:pPr>
        <w:pStyle w:val="2"/>
        <w:spacing w:before="300" w:after="300" w:line="320" w:lineRule="exact"/>
        <w:rPr>
          <w:rFonts w:ascii="宋体" w:eastAsia="宋体" w:hAnsi="宋体" w:cs="宋体"/>
          <w:b/>
          <w:bCs/>
          <w:sz w:val="24"/>
          <w:szCs w:val="24"/>
        </w:rPr>
      </w:pPr>
      <w:bookmarkStart w:id="82" w:name="_Toc988970"/>
      <w:r w:rsidRPr="00F50B51">
        <w:rPr>
          <w:rFonts w:ascii="宋体" w:eastAsia="宋体" w:hAnsi="宋体" w:cs="宋体"/>
          <w:b/>
          <w:bCs/>
          <w:sz w:val="24"/>
          <w:szCs w:val="24"/>
        </w:rPr>
        <w:t>十四、公司子公司重大事项</w:t>
      </w:r>
      <w:bookmarkEnd w:id="82"/>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pStyle w:val="a7"/>
        <w:rPr>
          <w:sz w:val="18"/>
          <w:szCs w:val="18"/>
        </w:rPr>
      </w:pPr>
      <w:r w:rsidRPr="00F50B51">
        <w:rPr>
          <w:rFonts w:hint="eastAsia"/>
          <w:sz w:val="18"/>
          <w:szCs w:val="18"/>
        </w:rPr>
        <w:t>   2022</w:t>
      </w:r>
      <w:r w:rsidRPr="00F50B51">
        <w:rPr>
          <w:rFonts w:hint="eastAsia"/>
          <w:sz w:val="18"/>
          <w:szCs w:val="18"/>
        </w:rPr>
        <w:t>年</w:t>
      </w:r>
      <w:r w:rsidRPr="00F50B51">
        <w:rPr>
          <w:rFonts w:hint="eastAsia"/>
          <w:sz w:val="18"/>
          <w:szCs w:val="18"/>
        </w:rPr>
        <w:t>1</w:t>
      </w:r>
      <w:r w:rsidRPr="00F50B51">
        <w:rPr>
          <w:rFonts w:hint="eastAsia"/>
          <w:sz w:val="18"/>
          <w:szCs w:val="18"/>
        </w:rPr>
        <w:t>月，公司子公司大余隆鑫泰矿业有限公司取得由自然资源部颁发的采矿许可证，系原有采矿许可证的延续，有效期共壹拾年，自</w:t>
      </w:r>
      <w:r w:rsidRPr="00F50B51">
        <w:rPr>
          <w:rFonts w:hint="eastAsia"/>
          <w:sz w:val="18"/>
          <w:szCs w:val="18"/>
        </w:rPr>
        <w:t xml:space="preserve"> 2021 </w:t>
      </w:r>
      <w:r w:rsidRPr="00F50B51">
        <w:rPr>
          <w:rFonts w:hint="eastAsia"/>
          <w:sz w:val="18"/>
          <w:szCs w:val="18"/>
        </w:rPr>
        <w:t>年</w:t>
      </w:r>
      <w:r w:rsidRPr="00F50B51">
        <w:rPr>
          <w:rFonts w:hint="eastAsia"/>
          <w:sz w:val="18"/>
          <w:szCs w:val="18"/>
        </w:rPr>
        <w:t xml:space="preserve"> 3 </w:t>
      </w:r>
      <w:r w:rsidRPr="00F50B51">
        <w:rPr>
          <w:rFonts w:hint="eastAsia"/>
          <w:sz w:val="18"/>
          <w:szCs w:val="18"/>
        </w:rPr>
        <w:t>月</w:t>
      </w:r>
      <w:r w:rsidRPr="00F50B51">
        <w:rPr>
          <w:rFonts w:hint="eastAsia"/>
          <w:sz w:val="18"/>
          <w:szCs w:val="18"/>
        </w:rPr>
        <w:t xml:space="preserve"> 16 </w:t>
      </w:r>
      <w:r w:rsidRPr="00F50B51">
        <w:rPr>
          <w:rFonts w:hint="eastAsia"/>
          <w:sz w:val="18"/>
          <w:szCs w:val="18"/>
        </w:rPr>
        <w:t>日至</w:t>
      </w:r>
      <w:r w:rsidRPr="00F50B51">
        <w:rPr>
          <w:rFonts w:hint="eastAsia"/>
          <w:sz w:val="18"/>
          <w:szCs w:val="18"/>
        </w:rPr>
        <w:t xml:space="preserve"> </w:t>
      </w:r>
      <w:r w:rsidRPr="00F50B51">
        <w:rPr>
          <w:rFonts w:hint="eastAsia"/>
          <w:sz w:val="18"/>
          <w:szCs w:val="18"/>
        </w:rPr>
        <w:t xml:space="preserve">2031 </w:t>
      </w:r>
      <w:r w:rsidRPr="00F50B51">
        <w:rPr>
          <w:rFonts w:hint="eastAsia"/>
          <w:sz w:val="18"/>
          <w:szCs w:val="18"/>
        </w:rPr>
        <w:t>年</w:t>
      </w:r>
      <w:r w:rsidRPr="00F50B51">
        <w:rPr>
          <w:rFonts w:hint="eastAsia"/>
          <w:sz w:val="18"/>
          <w:szCs w:val="18"/>
        </w:rPr>
        <w:t xml:space="preserve"> 3 </w:t>
      </w:r>
      <w:r w:rsidRPr="00F50B51">
        <w:rPr>
          <w:rFonts w:hint="eastAsia"/>
          <w:sz w:val="18"/>
          <w:szCs w:val="18"/>
        </w:rPr>
        <w:t>月</w:t>
      </w:r>
      <w:r w:rsidRPr="00F50B51">
        <w:rPr>
          <w:rFonts w:hint="eastAsia"/>
          <w:sz w:val="18"/>
          <w:szCs w:val="18"/>
        </w:rPr>
        <w:t xml:space="preserve"> 15 </w:t>
      </w:r>
      <w:r w:rsidRPr="00F50B51">
        <w:rPr>
          <w:rFonts w:hint="eastAsia"/>
          <w:sz w:val="18"/>
          <w:szCs w:val="18"/>
        </w:rPr>
        <w:t>日。采矿许可证的延续有助于提高公司的市场竞争力，优化公司的产品结构。具体内容详见</w:t>
      </w:r>
      <w:r w:rsidRPr="00F50B51">
        <w:rPr>
          <w:rFonts w:hint="eastAsia"/>
          <w:sz w:val="18"/>
          <w:szCs w:val="18"/>
        </w:rPr>
        <w:t>2022</w:t>
      </w:r>
      <w:r w:rsidRPr="00F50B51">
        <w:rPr>
          <w:rFonts w:hint="eastAsia"/>
          <w:sz w:val="18"/>
          <w:szCs w:val="18"/>
        </w:rPr>
        <w:t>年</w:t>
      </w:r>
      <w:r w:rsidRPr="00F50B51">
        <w:rPr>
          <w:rFonts w:hint="eastAsia"/>
          <w:sz w:val="18"/>
          <w:szCs w:val="18"/>
        </w:rPr>
        <w:t>1</w:t>
      </w:r>
      <w:r w:rsidRPr="00F50B51">
        <w:rPr>
          <w:rFonts w:hint="eastAsia"/>
          <w:sz w:val="18"/>
          <w:szCs w:val="18"/>
        </w:rPr>
        <w:t>月</w:t>
      </w:r>
      <w:r w:rsidRPr="00F50B51">
        <w:rPr>
          <w:rFonts w:hint="eastAsia"/>
          <w:sz w:val="18"/>
          <w:szCs w:val="18"/>
        </w:rPr>
        <w:t>11</w:t>
      </w:r>
      <w:r w:rsidRPr="00F50B51">
        <w:rPr>
          <w:rFonts w:hint="eastAsia"/>
          <w:sz w:val="18"/>
          <w:szCs w:val="18"/>
        </w:rPr>
        <w:t>日，公司于巨潮资讯网（</w:t>
      </w:r>
      <w:r w:rsidRPr="00F50B51">
        <w:rPr>
          <w:rFonts w:ascii="Times New Roman" w:hAnsi="Times New Roman" w:cs="Times New Roman"/>
          <w:sz w:val="18"/>
          <w:szCs w:val="18"/>
        </w:rPr>
        <w:t>www.cninfo.com.cn</w:t>
      </w:r>
      <w:r w:rsidRPr="00F50B51">
        <w:rPr>
          <w:rFonts w:hint="eastAsia"/>
          <w:sz w:val="18"/>
          <w:szCs w:val="18"/>
        </w:rPr>
        <w:t>）披露的《关于子公司完成〈中华人民共和国采矿许可证〉延续的公告》（公告编号：</w:t>
      </w:r>
      <w:r w:rsidRPr="00F50B51">
        <w:rPr>
          <w:rFonts w:ascii="Times New Roman" w:hAnsi="Times New Roman" w:cs="Times New Roman"/>
          <w:sz w:val="18"/>
          <w:szCs w:val="18"/>
        </w:rPr>
        <w:t>2022-002</w:t>
      </w:r>
      <w:r w:rsidRPr="00F50B51">
        <w:rPr>
          <w:rFonts w:hint="eastAsia"/>
          <w:sz w:val="18"/>
          <w:szCs w:val="18"/>
        </w:rPr>
        <w:t>）。</w:t>
      </w:r>
    </w:p>
    <w:p w:rsidR="0058782B" w:rsidRPr="00F50B51" w:rsidRDefault="00F80EE7">
      <w:r w:rsidRPr="00F50B51">
        <w:br w:type="page"/>
      </w:r>
    </w:p>
    <w:p w:rsidR="0058782B" w:rsidRPr="00F50B51" w:rsidRDefault="00F80EE7">
      <w:pPr>
        <w:pStyle w:val="headingh1"/>
        <w:spacing w:before="340" w:after="330" w:line="773" w:lineRule="exact"/>
        <w:jc w:val="center"/>
        <w:rPr>
          <w:rFonts w:ascii="宋体" w:eastAsia="宋体" w:hAnsi="宋体" w:cs="宋体"/>
          <w:b/>
          <w:bCs/>
          <w:sz w:val="32"/>
          <w:szCs w:val="32"/>
        </w:rPr>
      </w:pPr>
      <w:bookmarkStart w:id="83" w:name="_Toc988971"/>
      <w:r w:rsidRPr="00F50B51">
        <w:rPr>
          <w:rFonts w:ascii="宋体" w:eastAsia="宋体" w:hAnsi="宋体" w:cs="宋体"/>
          <w:b/>
          <w:bCs/>
          <w:sz w:val="32"/>
          <w:szCs w:val="32"/>
        </w:rPr>
        <w:lastRenderedPageBreak/>
        <w:t>第七节</w:t>
      </w:r>
      <w:r w:rsidRPr="00F50B51">
        <w:rPr>
          <w:rFonts w:ascii="宋体" w:eastAsia="宋体" w:hAnsi="宋体" w:cs="宋体"/>
          <w:b/>
          <w:bCs/>
          <w:sz w:val="32"/>
          <w:szCs w:val="32"/>
        </w:rPr>
        <w:t xml:space="preserve"> </w:t>
      </w:r>
      <w:r w:rsidRPr="00F50B51">
        <w:rPr>
          <w:rFonts w:ascii="宋体" w:eastAsia="宋体" w:hAnsi="宋体" w:cs="宋体"/>
          <w:b/>
          <w:bCs/>
          <w:sz w:val="32"/>
          <w:szCs w:val="32"/>
        </w:rPr>
        <w:t>股份变动及股东情况</w:t>
      </w:r>
      <w:bookmarkEnd w:id="83"/>
    </w:p>
    <w:p w:rsidR="0058782B" w:rsidRPr="00F50B51" w:rsidRDefault="00F80EE7">
      <w:pPr>
        <w:pStyle w:val="2"/>
        <w:spacing w:before="300" w:after="300" w:line="320" w:lineRule="exact"/>
        <w:rPr>
          <w:rFonts w:ascii="宋体" w:eastAsia="宋体" w:hAnsi="宋体" w:cs="宋体"/>
          <w:b/>
          <w:bCs/>
          <w:sz w:val="24"/>
          <w:szCs w:val="24"/>
        </w:rPr>
      </w:pPr>
      <w:bookmarkStart w:id="84" w:name="_Toc988972"/>
      <w:r w:rsidRPr="00F50B51">
        <w:rPr>
          <w:rFonts w:ascii="宋体" w:eastAsia="宋体" w:hAnsi="宋体" w:cs="宋体"/>
          <w:b/>
          <w:bCs/>
          <w:sz w:val="24"/>
          <w:szCs w:val="24"/>
        </w:rPr>
        <w:t>一、股份变动情况</w:t>
      </w:r>
      <w:bookmarkEnd w:id="84"/>
    </w:p>
    <w:p w:rsidR="0058782B" w:rsidRPr="00F50B51" w:rsidRDefault="00F80EE7">
      <w:pPr>
        <w:pStyle w:val="3"/>
        <w:spacing w:line="280" w:lineRule="exact"/>
        <w:jc w:val="left"/>
        <w:rPr>
          <w:rFonts w:ascii="宋体" w:hAnsi="宋体" w:cs="宋体"/>
          <w:b/>
          <w:bCs/>
        </w:rPr>
      </w:pPr>
      <w:bookmarkStart w:id="85" w:name="_Toc988973"/>
      <w:r w:rsidRPr="00F50B51">
        <w:rPr>
          <w:rFonts w:ascii="宋体" w:hAnsi="宋体" w:cs="宋体"/>
          <w:b/>
          <w:bCs/>
        </w:rPr>
        <w:t>1</w:t>
      </w:r>
      <w:r w:rsidRPr="00F50B51">
        <w:rPr>
          <w:rFonts w:ascii="宋体" w:hAnsi="宋体" w:cs="宋体"/>
          <w:b/>
          <w:bCs/>
        </w:rPr>
        <w:t>、股份变动情况</w:t>
      </w:r>
      <w:bookmarkEnd w:id="8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单位：股</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63"/>
        <w:gridCol w:w="964"/>
        <w:gridCol w:w="964"/>
        <w:gridCol w:w="964"/>
        <w:gridCol w:w="964"/>
        <w:gridCol w:w="964"/>
        <w:gridCol w:w="964"/>
        <w:gridCol w:w="964"/>
        <w:gridCol w:w="964"/>
        <w:gridCol w:w="964"/>
      </w:tblGrid>
      <w:tr w:rsidR="0058782B" w:rsidRPr="00F50B51">
        <w:trPr>
          <w:trHeight w:val="240"/>
        </w:trPr>
        <w:tc>
          <w:tcPr>
            <w:tcW w:w="96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本次变动前</w:t>
            </w:r>
          </w:p>
        </w:tc>
        <w:tc>
          <w:tcPr>
            <w:tcW w:w="4820"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本次变动增减（＋，－）</w:t>
            </w:r>
          </w:p>
        </w:tc>
        <w:tc>
          <w:tcPr>
            <w:tcW w:w="192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本次变动后</w:t>
            </w:r>
          </w:p>
        </w:tc>
      </w:tr>
      <w:tr w:rsidR="0058782B" w:rsidRPr="00F50B51">
        <w:trPr>
          <w:trHeight w:val="240"/>
        </w:trPr>
        <w:tc>
          <w:tcPr>
            <w:tcW w:w="964"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数量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比例</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发行新股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送股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公积金转股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小计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数量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比例</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一、有限售条件股份</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65,419,013</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23.56%</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-2,048,700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-2,048,700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63,370,313</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22.82%</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、国家持股</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、国有法人持股</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、其他内资持股</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65,419,013</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23.56%</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-2,048,700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-2,048,700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63,370,313</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22.82%</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其中：境内法人持股</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境内自然人持股</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65,419,013</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23.56%</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-2,048,700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-2,048,700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63,370,313</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22.82%</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、外资持股</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其中：境外法人持股</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境外自然人持股</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二、无限售条件股份</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212,252,639</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76.44%</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2,049,290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2,049,290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214,301,929</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77.18%</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、人民币普通股</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212,252,639</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76.44%</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2,049,290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2,049,290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214,301,929</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77.18%</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、境内上市的外资股</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、境外上市的外资股</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、其</w:t>
            </w:r>
            <w:r w:rsidRPr="00F50B51">
              <w:rPr>
                <w:rFonts w:ascii="宋体" w:eastAsia="宋体" w:hAnsi="宋体" w:cs="宋体"/>
                <w:sz w:val="18"/>
                <w:szCs w:val="18"/>
              </w:rPr>
              <w:lastRenderedPageBreak/>
              <w:t>他</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lastRenderedPageBreak/>
              <w:t>三、股份总数</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277,671,652</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590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590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277,672,242</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股份变动的原因</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pStyle w:val="a7"/>
        <w:rPr>
          <w:sz w:val="18"/>
          <w:szCs w:val="18"/>
        </w:rPr>
      </w:pPr>
      <w:r w:rsidRPr="00F50B51">
        <w:rPr>
          <w:rFonts w:hint="eastAsia"/>
          <w:sz w:val="18"/>
          <w:szCs w:val="18"/>
        </w:rPr>
        <w:t>报告期内，公司可转债转股导致股份总数变动。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股份变动的批准情况</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根据中国证券监督管理委员会于</w:t>
      </w:r>
      <w:r w:rsidRPr="00F50B51">
        <w:rPr>
          <w:rFonts w:ascii="Times New Roman" w:hAnsi="Times New Roman" w:cs="Times New Roman"/>
          <w:sz w:val="18"/>
          <w:szCs w:val="18"/>
        </w:rPr>
        <w:t>2019</w:t>
      </w:r>
      <w:r w:rsidRPr="00F50B51">
        <w:rPr>
          <w:rFonts w:cs="Times New Roman" w:hint="eastAsia"/>
          <w:sz w:val="18"/>
          <w:szCs w:val="18"/>
        </w:rPr>
        <w:t>年</w:t>
      </w:r>
      <w:r w:rsidRPr="00F50B51">
        <w:rPr>
          <w:rFonts w:ascii="Times New Roman" w:hAnsi="Times New Roman" w:cs="Times New Roman"/>
          <w:sz w:val="18"/>
          <w:szCs w:val="18"/>
        </w:rPr>
        <w:t>7</w:t>
      </w:r>
      <w:r w:rsidRPr="00F50B51">
        <w:rPr>
          <w:rFonts w:cs="Times New Roman" w:hint="eastAsia"/>
          <w:sz w:val="18"/>
          <w:szCs w:val="18"/>
        </w:rPr>
        <w:t>月</w:t>
      </w:r>
      <w:r w:rsidRPr="00F50B51">
        <w:rPr>
          <w:rFonts w:ascii="Times New Roman" w:hAnsi="Times New Roman" w:cs="Times New Roman"/>
          <w:sz w:val="18"/>
          <w:szCs w:val="18"/>
        </w:rPr>
        <w:t>25</w:t>
      </w:r>
      <w:r w:rsidRPr="00F50B51">
        <w:rPr>
          <w:rFonts w:cs="Times New Roman" w:hint="eastAsia"/>
          <w:sz w:val="18"/>
          <w:szCs w:val="18"/>
        </w:rPr>
        <w:t>日下发的《关于核准广东翔鹭钨业股份有限公司公开发行可转换公司债券的批复》（证监许可</w:t>
      </w:r>
      <w:r w:rsidRPr="00F50B51">
        <w:rPr>
          <w:rFonts w:ascii="Times New Roman" w:hAnsi="Times New Roman" w:cs="Times New Roman"/>
          <w:sz w:val="18"/>
          <w:szCs w:val="18"/>
        </w:rPr>
        <w:t>[2019]1374</w:t>
      </w:r>
      <w:r w:rsidRPr="00F50B51">
        <w:rPr>
          <w:rFonts w:cs="Times New Roman" w:hint="eastAsia"/>
          <w:sz w:val="18"/>
          <w:szCs w:val="18"/>
        </w:rPr>
        <w:t>号）文件，公司于</w:t>
      </w:r>
      <w:r w:rsidRPr="00F50B51">
        <w:rPr>
          <w:rFonts w:ascii="Times New Roman" w:hAnsi="Times New Roman" w:cs="Times New Roman"/>
          <w:sz w:val="18"/>
          <w:szCs w:val="18"/>
        </w:rPr>
        <w:t>2019</w:t>
      </w:r>
      <w:r w:rsidRPr="00F50B51">
        <w:rPr>
          <w:rFonts w:cs="Times New Roman" w:hint="eastAsia"/>
          <w:sz w:val="18"/>
          <w:szCs w:val="18"/>
        </w:rPr>
        <w:t>年</w:t>
      </w:r>
      <w:r w:rsidRPr="00F50B51">
        <w:rPr>
          <w:rFonts w:ascii="Times New Roman" w:hAnsi="Times New Roman" w:cs="Times New Roman"/>
          <w:sz w:val="18"/>
          <w:szCs w:val="18"/>
        </w:rPr>
        <w:t>8</w:t>
      </w:r>
      <w:r w:rsidRPr="00F50B51">
        <w:rPr>
          <w:rFonts w:cs="Times New Roman" w:hint="eastAsia"/>
          <w:sz w:val="18"/>
          <w:szCs w:val="18"/>
        </w:rPr>
        <w:t>月</w:t>
      </w:r>
      <w:r w:rsidRPr="00F50B51">
        <w:rPr>
          <w:rFonts w:ascii="Times New Roman" w:hAnsi="Times New Roman" w:cs="Times New Roman"/>
          <w:sz w:val="18"/>
          <w:szCs w:val="18"/>
        </w:rPr>
        <w:t>20</w:t>
      </w:r>
      <w:r w:rsidRPr="00F50B51">
        <w:rPr>
          <w:rFonts w:cs="Times New Roman" w:hint="eastAsia"/>
          <w:sz w:val="18"/>
          <w:szCs w:val="18"/>
        </w:rPr>
        <w:t>日公开发行了</w:t>
      </w:r>
      <w:r w:rsidRPr="00F50B51">
        <w:rPr>
          <w:rFonts w:ascii="Times New Roman" w:hAnsi="Times New Roman" w:cs="Times New Roman"/>
          <w:sz w:val="18"/>
          <w:szCs w:val="18"/>
        </w:rPr>
        <w:t>3,019,223</w:t>
      </w:r>
      <w:r w:rsidRPr="00F50B51">
        <w:rPr>
          <w:rFonts w:cs="Times New Roman" w:hint="eastAsia"/>
          <w:sz w:val="18"/>
          <w:szCs w:val="18"/>
        </w:rPr>
        <w:t>张可转换公司债券。</w:t>
      </w:r>
    </w:p>
    <w:p w:rsidR="0058782B" w:rsidRPr="00F50B51" w:rsidRDefault="00F80EE7">
      <w:pPr>
        <w:pStyle w:val="a7"/>
        <w:spacing w:before="0" w:beforeAutospacing="0" w:after="0" w:afterAutospacing="0"/>
        <w:rPr>
          <w:rFonts w:ascii="Times New Roman" w:hAnsi="Times New Roman" w:cs="Times New Roman"/>
          <w:sz w:val="18"/>
          <w:szCs w:val="18"/>
        </w:rPr>
      </w:pPr>
      <w:r w:rsidRPr="00F50B51">
        <w:rPr>
          <w:rFonts w:ascii="Times New Roman" w:hAnsi="Times New Roman" w:cs="Times New Roman"/>
          <w:sz w:val="18"/>
          <w:szCs w:val="18"/>
        </w:rPr>
        <w:t> </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股份变动的过户情况</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股份回购的实施进展情况</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采用集中竞价方式减持回购股份的实施进展情况</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股份变动对最近一年和最近一期基本每股收益和稀释每股收益、归属于公司普通股股东的每股净资产等财务指标的影响</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pStyle w:val="a7"/>
        <w:rPr>
          <w:sz w:val="18"/>
          <w:szCs w:val="18"/>
        </w:rPr>
      </w:pPr>
      <w:r w:rsidRPr="00F50B51">
        <w:rPr>
          <w:rFonts w:hint="eastAsia"/>
          <w:sz w:val="18"/>
          <w:szCs w:val="18"/>
        </w:rPr>
        <w:t>由于</w:t>
      </w:r>
      <w:r w:rsidRPr="00F50B51">
        <w:rPr>
          <w:rFonts w:ascii="Times New Roman" w:hAnsi="Times New Roman" w:cs="Times New Roman"/>
          <w:sz w:val="18"/>
          <w:szCs w:val="18"/>
        </w:rPr>
        <w:t>报告期内</w:t>
      </w:r>
      <w:r w:rsidRPr="00F50B51">
        <w:rPr>
          <w:rFonts w:hint="eastAsia"/>
          <w:sz w:val="18"/>
          <w:szCs w:val="18"/>
        </w:rPr>
        <w:t>可转债转股导致股本增加</w:t>
      </w:r>
      <w:r w:rsidRPr="00F50B51">
        <w:rPr>
          <w:rFonts w:ascii="Times New Roman" w:hAnsi="Times New Roman" w:cs="Times New Roman"/>
          <w:sz w:val="18"/>
          <w:szCs w:val="18"/>
        </w:rPr>
        <w:t xml:space="preserve">590 </w:t>
      </w:r>
      <w:r w:rsidRPr="00F50B51">
        <w:rPr>
          <w:rFonts w:hint="eastAsia"/>
          <w:sz w:val="18"/>
          <w:szCs w:val="18"/>
        </w:rPr>
        <w:t>股，股份总数由</w:t>
      </w:r>
      <w:r w:rsidRPr="00F50B51">
        <w:rPr>
          <w:rFonts w:hint="eastAsia"/>
          <w:color w:val="333333"/>
          <w:sz w:val="18"/>
          <w:szCs w:val="18"/>
          <w:shd w:val="clear" w:color="auto" w:fill="FFFFFF"/>
        </w:rPr>
        <w:t>277,671,652</w:t>
      </w:r>
      <w:r w:rsidRPr="00F50B51">
        <w:rPr>
          <w:rFonts w:hint="eastAsia"/>
          <w:sz w:val="18"/>
          <w:szCs w:val="18"/>
        </w:rPr>
        <w:t>增加至</w:t>
      </w:r>
      <w:r w:rsidRPr="00F50B51">
        <w:rPr>
          <w:rFonts w:hint="eastAsia"/>
          <w:color w:val="333333"/>
          <w:sz w:val="18"/>
          <w:szCs w:val="18"/>
          <w:shd w:val="clear" w:color="auto" w:fill="FFFFFF"/>
        </w:rPr>
        <w:t>277,672,242</w:t>
      </w:r>
      <w:r w:rsidRPr="00F50B51">
        <w:rPr>
          <w:rFonts w:hint="eastAsia"/>
          <w:sz w:val="18"/>
          <w:szCs w:val="18"/>
        </w:rPr>
        <w:t>股，本次股份变动对公司最近一年和最近一期基本每股收益和稀释每股收益、归属公司普通股股东净资产等财务指标的具体影响详见第二节</w:t>
      </w:r>
      <w:r w:rsidRPr="00F50B51">
        <w:rPr>
          <w:rFonts w:ascii="Times New Roman" w:hAnsi="Times New Roman" w:cs="Times New Roman"/>
          <w:sz w:val="18"/>
          <w:szCs w:val="18"/>
        </w:rPr>
        <w:t>“</w:t>
      </w:r>
      <w:r w:rsidRPr="00F50B51">
        <w:rPr>
          <w:rFonts w:hint="eastAsia"/>
          <w:sz w:val="18"/>
          <w:szCs w:val="18"/>
        </w:rPr>
        <w:t>四、主要会计数据和财务指标</w:t>
      </w:r>
      <w:r w:rsidRPr="00F50B51">
        <w:rPr>
          <w:rFonts w:ascii="Times New Roman" w:hAnsi="Times New Roman" w:cs="Times New Roman"/>
          <w:sz w:val="18"/>
          <w:szCs w:val="18"/>
        </w:rPr>
        <w:t>”</w:t>
      </w:r>
      <w:r w:rsidRPr="00F50B51">
        <w:rPr>
          <w:rFonts w:hint="eastAsia"/>
          <w:sz w:val="18"/>
          <w:szCs w:val="18"/>
        </w:rPr>
        <w:t>。</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公司认为必要或证券监管机构要求披露的其他内容</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3"/>
        <w:spacing w:line="280" w:lineRule="exact"/>
        <w:jc w:val="left"/>
        <w:rPr>
          <w:rFonts w:ascii="宋体" w:hAnsi="宋体" w:cs="宋体"/>
          <w:b/>
          <w:bCs/>
        </w:rPr>
      </w:pPr>
      <w:bookmarkStart w:id="86" w:name="_Toc988974"/>
      <w:r w:rsidRPr="00F50B51">
        <w:rPr>
          <w:rFonts w:ascii="宋体" w:hAnsi="宋体" w:cs="宋体"/>
          <w:b/>
          <w:bCs/>
        </w:rPr>
        <w:t>2</w:t>
      </w:r>
      <w:r w:rsidRPr="00F50B51">
        <w:rPr>
          <w:rFonts w:ascii="宋体" w:hAnsi="宋体" w:cs="宋体"/>
          <w:b/>
          <w:bCs/>
        </w:rPr>
        <w:t>、限售股份变动情况</w:t>
      </w:r>
      <w:bookmarkEnd w:id="86"/>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单位：股</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股东名称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本期解除限售股数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限售原因</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解除限售日期</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38,877,300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38,877,300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高管锁定股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根据董监高相关管理规定解限</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陈伟儿</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10,261,586</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10,261,586</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高管锁定股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根据董监高相关管理规定解限</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陈伟东</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9,422,227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9,422,227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高管锁定股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根据董监高相关管理规定解限</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李盛意</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386,400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386,400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股权激励授予的限制性股票、高管锁定</w:t>
            </w:r>
            <w:r w:rsidRPr="00F50B51">
              <w:rPr>
                <w:rFonts w:ascii="宋体" w:eastAsia="宋体" w:hAnsi="宋体" w:cs="宋体"/>
                <w:sz w:val="18"/>
                <w:szCs w:val="18"/>
              </w:rPr>
              <w:lastRenderedPageBreak/>
              <w:t>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根据限制性股票计划规定以及董监高相关</w:t>
            </w:r>
            <w:r w:rsidRPr="00F50B51">
              <w:rPr>
                <w:rFonts w:ascii="宋体" w:eastAsia="宋体" w:hAnsi="宋体" w:cs="宋体"/>
                <w:sz w:val="18"/>
                <w:szCs w:val="18"/>
              </w:rPr>
              <w:lastRenderedPageBreak/>
              <w:t>管理规定解限</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戴湘平</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252,800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252,800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股权激励授予的限制性股票、高管锁定股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根据限制性股票计划规定以及董监高相关管理规定解限</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周伟平</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股权激励授予的限制性股票</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根据限制性股票计划规定解限</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吴向高</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股权激励授予的限制性股票</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根据限制性股票计划规定解限</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倪明</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股权激励授予的限制性股票</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根据限制性股票计划规定解限</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郑丽芳</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股权激励授予的限制性股票</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根据限制性股票计划规定解限</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3,470,000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3,470,000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股权激励授予的限制性股票</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根据限制性股票计划规定解限</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63,370,313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63,370,313</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r>
    </w:tbl>
    <w:p w:rsidR="0058782B" w:rsidRPr="00F50B51" w:rsidRDefault="00F80EE7">
      <w:pPr>
        <w:pStyle w:val="2"/>
        <w:spacing w:before="300" w:after="300" w:line="320" w:lineRule="exact"/>
        <w:rPr>
          <w:rFonts w:ascii="宋体" w:eastAsia="宋体" w:hAnsi="宋体" w:cs="宋体"/>
          <w:b/>
          <w:bCs/>
          <w:sz w:val="24"/>
          <w:szCs w:val="24"/>
        </w:rPr>
      </w:pPr>
      <w:bookmarkStart w:id="87" w:name="_Toc988975"/>
      <w:r w:rsidRPr="00F50B51">
        <w:rPr>
          <w:rFonts w:ascii="宋体" w:eastAsia="宋体" w:hAnsi="宋体" w:cs="宋体"/>
          <w:b/>
          <w:bCs/>
          <w:sz w:val="24"/>
          <w:szCs w:val="24"/>
        </w:rPr>
        <w:t>二、证券发行与上市情况</w:t>
      </w:r>
      <w:bookmarkEnd w:id="87"/>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2"/>
        <w:spacing w:before="300" w:after="300" w:line="320" w:lineRule="exact"/>
        <w:rPr>
          <w:rFonts w:ascii="宋体" w:eastAsia="宋体" w:hAnsi="宋体" w:cs="宋体"/>
          <w:b/>
          <w:bCs/>
          <w:sz w:val="24"/>
          <w:szCs w:val="24"/>
        </w:rPr>
      </w:pPr>
      <w:bookmarkStart w:id="88" w:name="_Toc988976"/>
      <w:r w:rsidRPr="00F50B51">
        <w:rPr>
          <w:rFonts w:ascii="宋体" w:eastAsia="宋体" w:hAnsi="宋体" w:cs="宋体"/>
          <w:b/>
          <w:bCs/>
          <w:sz w:val="24"/>
          <w:szCs w:val="24"/>
        </w:rPr>
        <w:t>三、公司股东数量及持股情况</w:t>
      </w:r>
      <w:bookmarkEnd w:id="88"/>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单位：股</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报告期末普通股股东总数</w:t>
            </w:r>
          </w:p>
        </w:tc>
        <w:tc>
          <w:tcPr>
            <w:tcW w:w="2142"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21,512</w:t>
            </w:r>
          </w:p>
        </w:tc>
        <w:tc>
          <w:tcPr>
            <w:tcW w:w="3213"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报告期末表决权恢复的优先股股东总数（如有）（参见注</w:t>
            </w:r>
            <w:r w:rsidRPr="00F50B51">
              <w:rPr>
                <w:rFonts w:ascii="宋体" w:eastAsia="宋体" w:hAnsi="宋体" w:cs="宋体"/>
                <w:sz w:val="18"/>
                <w:szCs w:val="18"/>
              </w:rPr>
              <w:t>8</w:t>
            </w:r>
            <w:r w:rsidRPr="00F50B51">
              <w:rPr>
                <w:rFonts w:ascii="宋体" w:eastAsia="宋体" w:hAnsi="宋体" w:cs="宋体"/>
                <w:sz w:val="18"/>
                <w:szCs w:val="18"/>
              </w:rPr>
              <w:t>）</w:t>
            </w:r>
          </w:p>
        </w:tc>
        <w:tc>
          <w:tcPr>
            <w:tcW w:w="2142"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r>
      <w:tr w:rsidR="0058782B" w:rsidRPr="00F50B51">
        <w:trPr>
          <w:trHeight w:val="240"/>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持股</w:t>
            </w:r>
            <w:r w:rsidRPr="00F50B51">
              <w:rPr>
                <w:rFonts w:ascii="宋体" w:eastAsia="宋体" w:hAnsi="宋体" w:cs="宋体"/>
                <w:sz w:val="18"/>
                <w:szCs w:val="18"/>
              </w:rPr>
              <w:t>5%</w:t>
            </w:r>
            <w:r w:rsidRPr="00F50B51">
              <w:rPr>
                <w:rFonts w:ascii="宋体" w:eastAsia="宋体" w:hAnsi="宋体" w:cs="宋体"/>
                <w:sz w:val="18"/>
                <w:szCs w:val="18"/>
              </w:rPr>
              <w:t>以上的普通股股东或前</w:t>
            </w:r>
            <w:r w:rsidRPr="00F50B51">
              <w:rPr>
                <w:rFonts w:ascii="宋体" w:eastAsia="宋体" w:hAnsi="宋体" w:cs="宋体"/>
                <w:sz w:val="18"/>
                <w:szCs w:val="18"/>
              </w:rPr>
              <w:t>10</w:t>
            </w:r>
            <w:r w:rsidRPr="00F50B51">
              <w:rPr>
                <w:rFonts w:ascii="宋体" w:eastAsia="宋体" w:hAnsi="宋体" w:cs="宋体"/>
                <w:sz w:val="18"/>
                <w:szCs w:val="18"/>
              </w:rPr>
              <w:t>名普通股股东持股情况</w:t>
            </w:r>
          </w:p>
        </w:tc>
      </w:tr>
      <w:tr w:rsidR="0058782B" w:rsidRPr="00F50B51">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股东名称</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股东性质</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持股比例</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报告期末持有的普通股数量</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报告期内增减变动情况</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持有有限售条件的普通股数量</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持有无限售条件的普通股数量</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质押、标记或冻结情况</w:t>
            </w:r>
          </w:p>
        </w:tc>
      </w:tr>
      <w:tr w:rsidR="0058782B" w:rsidRPr="00F50B51">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股份状态</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数量</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18.67%</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51,836,400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38,877,300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12,959,100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30,012,161</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潮州启龙贸易</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有限公司</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境内非国有法人</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17.69%</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49,106,400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23,030,909</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陈伟儿</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4.93%</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13,682,115</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10,261,586</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3,420,529</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7,447,091</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陈伟东</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4.52%</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12,562,970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9,422,227</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3,140,743</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陈伟浩</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4.26%</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11,828,915</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梁楠</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1.97%</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5,460,000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潮州市永宣陶</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瓷科技有限公</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司</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境内非国有法人</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1.12%</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3,113,980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lastRenderedPageBreak/>
              <w:t>佘周鹏</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0.93%</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2,572,000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江楚玲</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0.53%</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UBS AG</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境外法人</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0.52%</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1,434,015</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1,312,628</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战略投资者或一般法人因配售新股成为前</w:t>
            </w:r>
            <w:r w:rsidRPr="00F50B51">
              <w:rPr>
                <w:rFonts w:ascii="宋体" w:eastAsia="宋体" w:hAnsi="宋体" w:cs="宋体"/>
                <w:sz w:val="18"/>
                <w:szCs w:val="18"/>
              </w:rPr>
              <w:t>10</w:t>
            </w:r>
            <w:r w:rsidRPr="00F50B51">
              <w:rPr>
                <w:rFonts w:ascii="宋体" w:eastAsia="宋体" w:hAnsi="宋体" w:cs="宋体"/>
                <w:sz w:val="18"/>
                <w:szCs w:val="18"/>
              </w:rPr>
              <w:t>名普通股股东的情况（如有）（参见注</w:t>
            </w:r>
            <w:r w:rsidRPr="00F50B51">
              <w:rPr>
                <w:rFonts w:ascii="宋体" w:eastAsia="宋体" w:hAnsi="宋体" w:cs="宋体"/>
                <w:sz w:val="18"/>
                <w:szCs w:val="18"/>
              </w:rPr>
              <w:t>3</w:t>
            </w:r>
            <w:r w:rsidRPr="00F50B51">
              <w:rPr>
                <w:rFonts w:ascii="宋体" w:eastAsia="宋体" w:hAnsi="宋体" w:cs="宋体"/>
                <w:sz w:val="18"/>
                <w:szCs w:val="18"/>
              </w:rPr>
              <w:t>）</w:t>
            </w:r>
          </w:p>
        </w:tc>
        <w:tc>
          <w:tcPr>
            <w:tcW w:w="7497"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上述股东关联关系或一致行动的说明</w:t>
            </w:r>
          </w:p>
        </w:tc>
        <w:tc>
          <w:tcPr>
            <w:tcW w:w="7497"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在上述股东中，陈启丰、陈伟东、陈伟儿及陈启丰际控制的启龙有限为一致行动人关系，陈伟东、陈伟儿系陈启丰子女。除此之外公司未知其他股东是否存在关联关系或一致行动关系。</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上述股东涉及委托</w:t>
            </w:r>
            <w:r w:rsidRPr="00F50B51">
              <w:rPr>
                <w:rFonts w:ascii="宋体" w:eastAsia="宋体" w:hAnsi="宋体" w:cs="宋体"/>
                <w:sz w:val="18"/>
                <w:szCs w:val="18"/>
              </w:rPr>
              <w:t>/</w:t>
            </w:r>
            <w:r w:rsidRPr="00F50B51">
              <w:rPr>
                <w:rFonts w:ascii="宋体" w:eastAsia="宋体" w:hAnsi="宋体" w:cs="宋体"/>
                <w:sz w:val="18"/>
                <w:szCs w:val="18"/>
              </w:rPr>
              <w:t>受托表决权、放弃表决权情况的说明</w:t>
            </w:r>
          </w:p>
        </w:tc>
        <w:tc>
          <w:tcPr>
            <w:tcW w:w="7497"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前</w:t>
            </w:r>
            <w:r w:rsidRPr="00F50B51">
              <w:rPr>
                <w:rFonts w:ascii="宋体" w:eastAsia="宋体" w:hAnsi="宋体" w:cs="宋体"/>
                <w:sz w:val="18"/>
                <w:szCs w:val="18"/>
              </w:rPr>
              <w:t>10</w:t>
            </w:r>
            <w:r w:rsidRPr="00F50B51">
              <w:rPr>
                <w:rFonts w:ascii="宋体" w:eastAsia="宋体" w:hAnsi="宋体" w:cs="宋体"/>
                <w:sz w:val="18"/>
                <w:szCs w:val="18"/>
              </w:rPr>
              <w:t>名股东中存在回购专户的特别说明（如有）（参见注</w:t>
            </w:r>
            <w:r w:rsidRPr="00F50B51">
              <w:rPr>
                <w:rFonts w:ascii="宋体" w:eastAsia="宋体" w:hAnsi="宋体" w:cs="宋体"/>
                <w:sz w:val="18"/>
                <w:szCs w:val="18"/>
              </w:rPr>
              <w:t>11</w:t>
            </w:r>
            <w:r w:rsidRPr="00F50B51">
              <w:rPr>
                <w:rFonts w:ascii="宋体" w:eastAsia="宋体" w:hAnsi="宋体" w:cs="宋体"/>
                <w:sz w:val="18"/>
                <w:szCs w:val="18"/>
              </w:rPr>
              <w:t>）</w:t>
            </w:r>
          </w:p>
        </w:tc>
        <w:tc>
          <w:tcPr>
            <w:tcW w:w="7497"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无</w:t>
            </w:r>
          </w:p>
        </w:tc>
      </w:tr>
      <w:tr w:rsidR="0058782B" w:rsidRPr="00F50B51">
        <w:trPr>
          <w:trHeight w:val="240"/>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前</w:t>
            </w:r>
            <w:r w:rsidRPr="00F50B51">
              <w:rPr>
                <w:rFonts w:ascii="宋体" w:eastAsia="宋体" w:hAnsi="宋体" w:cs="宋体"/>
                <w:sz w:val="18"/>
                <w:szCs w:val="18"/>
              </w:rPr>
              <w:t>10</w:t>
            </w:r>
            <w:r w:rsidRPr="00F50B51">
              <w:rPr>
                <w:rFonts w:ascii="宋体" w:eastAsia="宋体" w:hAnsi="宋体" w:cs="宋体"/>
                <w:sz w:val="18"/>
                <w:szCs w:val="18"/>
              </w:rPr>
              <w:t>名无限售条件普通股股东持股情况</w:t>
            </w:r>
          </w:p>
        </w:tc>
      </w:tr>
      <w:tr w:rsidR="0058782B" w:rsidRPr="00F50B51">
        <w:trPr>
          <w:trHeight w:val="240"/>
        </w:trPr>
        <w:tc>
          <w:tcPr>
            <w:tcW w:w="2142"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股东名称</w:t>
            </w:r>
          </w:p>
        </w:tc>
        <w:tc>
          <w:tcPr>
            <w:tcW w:w="5355" w:type="dxa"/>
            <w:gridSpan w:val="5"/>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报告期末持有无限售条件普通股股份数量</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股份种类</w:t>
            </w:r>
          </w:p>
        </w:tc>
      </w:tr>
      <w:tr w:rsidR="0058782B" w:rsidRPr="00F50B51">
        <w:trPr>
          <w:trHeight w:val="240"/>
        </w:trPr>
        <w:tc>
          <w:tcPr>
            <w:tcW w:w="2142"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355" w:type="dxa"/>
            <w:gridSpan w:val="5"/>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股份种类</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数量</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潮州启龙贸易</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有限公司</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49,106,400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49,106,400</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12,959,100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12,959,100</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陈伟浩</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11,828,915</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11,828,915</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梁楠</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5,460,000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5,460,000</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陈伟儿</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3,420,529</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3,420,529</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陈伟东</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3,140,743</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3,140,743</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潮州市永宣陶瓷科技有限公司</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3,113,980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3,113,980</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佘周鹏</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2,572,000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2,572,000</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江楚玲</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1,480,000</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UBS AG</w:t>
            </w:r>
          </w:p>
        </w:tc>
        <w:tc>
          <w:tcPr>
            <w:tcW w:w="5355" w:type="dxa"/>
            <w:gridSpan w:val="5"/>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1,434,015</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1,434,015</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前</w:t>
            </w:r>
            <w:r w:rsidRPr="00F50B51">
              <w:rPr>
                <w:rFonts w:ascii="宋体" w:eastAsia="宋体" w:hAnsi="宋体" w:cs="宋体"/>
                <w:sz w:val="18"/>
                <w:szCs w:val="18"/>
              </w:rPr>
              <w:t>10</w:t>
            </w:r>
            <w:r w:rsidRPr="00F50B51">
              <w:rPr>
                <w:rFonts w:ascii="宋体" w:eastAsia="宋体" w:hAnsi="宋体" w:cs="宋体"/>
                <w:sz w:val="18"/>
                <w:szCs w:val="18"/>
              </w:rPr>
              <w:t>名无限售条件普通股股东之间，以及前</w:t>
            </w:r>
            <w:r w:rsidRPr="00F50B51">
              <w:rPr>
                <w:rFonts w:ascii="宋体" w:eastAsia="宋体" w:hAnsi="宋体" w:cs="宋体"/>
                <w:sz w:val="18"/>
                <w:szCs w:val="18"/>
              </w:rPr>
              <w:t>10</w:t>
            </w:r>
            <w:r w:rsidRPr="00F50B51">
              <w:rPr>
                <w:rFonts w:ascii="宋体" w:eastAsia="宋体" w:hAnsi="宋体" w:cs="宋体"/>
                <w:sz w:val="18"/>
                <w:szCs w:val="18"/>
              </w:rPr>
              <w:t>名无限售条件普通股股东和前</w:t>
            </w:r>
            <w:r w:rsidRPr="00F50B51">
              <w:rPr>
                <w:rFonts w:ascii="宋体" w:eastAsia="宋体" w:hAnsi="宋体" w:cs="宋体"/>
                <w:sz w:val="18"/>
                <w:szCs w:val="18"/>
              </w:rPr>
              <w:t>10</w:t>
            </w:r>
            <w:r w:rsidRPr="00F50B51">
              <w:rPr>
                <w:rFonts w:ascii="宋体" w:eastAsia="宋体" w:hAnsi="宋体" w:cs="宋体"/>
                <w:sz w:val="18"/>
                <w:szCs w:val="18"/>
              </w:rPr>
              <w:t>名普通股股东之间关联关系或一致行动的说明</w:t>
            </w:r>
          </w:p>
        </w:tc>
        <w:tc>
          <w:tcPr>
            <w:tcW w:w="7497"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在上述股东中，陈启丰、陈伟东、陈伟儿及陈启丰际控制的启龙有限为一致行动人关系，陈伟东、陈伟儿系陈启丰子女。除此之外，未知前</w:t>
            </w:r>
            <w:r w:rsidRPr="00F50B51">
              <w:rPr>
                <w:rFonts w:ascii="宋体" w:eastAsia="宋体" w:hAnsi="宋体" w:cs="宋体"/>
                <w:sz w:val="18"/>
                <w:szCs w:val="18"/>
              </w:rPr>
              <w:t>10</w:t>
            </w:r>
            <w:r w:rsidRPr="00F50B51">
              <w:rPr>
                <w:rFonts w:ascii="宋体" w:eastAsia="宋体" w:hAnsi="宋体" w:cs="宋体"/>
                <w:sz w:val="18"/>
                <w:szCs w:val="18"/>
              </w:rPr>
              <w:t>名无限售条件普通股股东之间，以及前</w:t>
            </w:r>
            <w:r w:rsidRPr="00F50B51">
              <w:rPr>
                <w:rFonts w:ascii="宋体" w:eastAsia="宋体" w:hAnsi="宋体" w:cs="宋体"/>
                <w:sz w:val="18"/>
                <w:szCs w:val="18"/>
              </w:rPr>
              <w:t>10</w:t>
            </w:r>
            <w:r w:rsidRPr="00F50B51">
              <w:rPr>
                <w:rFonts w:ascii="宋体" w:eastAsia="宋体" w:hAnsi="宋体" w:cs="宋体"/>
                <w:sz w:val="18"/>
                <w:szCs w:val="18"/>
              </w:rPr>
              <w:t>名无限售条件普通股股东和前</w:t>
            </w:r>
            <w:r w:rsidRPr="00F50B51">
              <w:rPr>
                <w:rFonts w:ascii="宋体" w:eastAsia="宋体" w:hAnsi="宋体" w:cs="宋体"/>
                <w:sz w:val="18"/>
                <w:szCs w:val="18"/>
              </w:rPr>
              <w:t>10</w:t>
            </w:r>
            <w:r w:rsidRPr="00F50B51">
              <w:rPr>
                <w:rFonts w:ascii="宋体" w:eastAsia="宋体" w:hAnsi="宋体" w:cs="宋体"/>
                <w:sz w:val="18"/>
                <w:szCs w:val="18"/>
              </w:rPr>
              <w:t>名普通股股东之间是否存在关联关系或一致行动关系。</w:t>
            </w:r>
          </w:p>
        </w:tc>
      </w:tr>
      <w:tr w:rsidR="0058782B" w:rsidRPr="00F50B51">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前</w:t>
            </w:r>
            <w:r w:rsidRPr="00F50B51">
              <w:rPr>
                <w:rFonts w:ascii="宋体" w:eastAsia="宋体" w:hAnsi="宋体" w:cs="宋体"/>
                <w:sz w:val="18"/>
                <w:szCs w:val="18"/>
              </w:rPr>
              <w:t>10</w:t>
            </w:r>
            <w:r w:rsidRPr="00F50B51">
              <w:rPr>
                <w:rFonts w:ascii="宋体" w:eastAsia="宋体" w:hAnsi="宋体" w:cs="宋体"/>
                <w:sz w:val="18"/>
                <w:szCs w:val="18"/>
              </w:rPr>
              <w:t>名普通股股东参与融资融券业务情况说明（如有）（参见注</w:t>
            </w:r>
            <w:r w:rsidRPr="00F50B51">
              <w:rPr>
                <w:rFonts w:ascii="宋体" w:eastAsia="宋体" w:hAnsi="宋体" w:cs="宋体"/>
                <w:sz w:val="18"/>
                <w:szCs w:val="18"/>
              </w:rPr>
              <w:t>4</w:t>
            </w:r>
            <w:r w:rsidRPr="00F50B51">
              <w:rPr>
                <w:rFonts w:ascii="宋体" w:eastAsia="宋体" w:hAnsi="宋体" w:cs="宋体"/>
                <w:sz w:val="18"/>
                <w:szCs w:val="18"/>
              </w:rPr>
              <w:t>）</w:t>
            </w:r>
          </w:p>
        </w:tc>
        <w:tc>
          <w:tcPr>
            <w:tcW w:w="7497" w:type="dxa"/>
            <w:gridSpan w:val="7"/>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陈伟浩通过普通证券账户持有</w:t>
            </w:r>
            <w:r w:rsidRPr="00F50B51">
              <w:rPr>
                <w:rFonts w:ascii="宋体" w:eastAsia="宋体" w:hAnsi="宋体" w:cs="宋体"/>
                <w:sz w:val="18"/>
                <w:szCs w:val="18"/>
              </w:rPr>
              <w:t>0</w:t>
            </w:r>
            <w:r w:rsidRPr="00F50B51">
              <w:rPr>
                <w:rFonts w:ascii="宋体" w:eastAsia="宋体" w:hAnsi="宋体" w:cs="宋体"/>
                <w:sz w:val="18"/>
                <w:szCs w:val="18"/>
              </w:rPr>
              <w:t>股，通过国都证券股份有限公司客户信用交易担保证券账户持有</w:t>
            </w:r>
            <w:r w:rsidRPr="00F50B51">
              <w:rPr>
                <w:rFonts w:ascii="宋体" w:eastAsia="宋体" w:hAnsi="宋体" w:cs="宋体"/>
                <w:sz w:val="18"/>
                <w:szCs w:val="18"/>
              </w:rPr>
              <w:t>11,828,915</w:t>
            </w:r>
            <w:r w:rsidRPr="00F50B51">
              <w:rPr>
                <w:rFonts w:ascii="宋体" w:eastAsia="宋体" w:hAnsi="宋体" w:cs="宋体"/>
                <w:sz w:val="18"/>
                <w:szCs w:val="18"/>
              </w:rPr>
              <w:t>股，合计</w:t>
            </w:r>
            <w:r w:rsidRPr="00F50B51">
              <w:rPr>
                <w:rFonts w:ascii="宋体" w:eastAsia="宋体" w:hAnsi="宋体" w:cs="宋体"/>
                <w:sz w:val="18"/>
                <w:szCs w:val="18"/>
              </w:rPr>
              <w:t>11,828,915</w:t>
            </w:r>
            <w:r w:rsidRPr="00F50B51">
              <w:rPr>
                <w:rFonts w:ascii="宋体" w:eastAsia="宋体" w:hAnsi="宋体" w:cs="宋体"/>
                <w:sz w:val="18"/>
                <w:szCs w:val="18"/>
              </w:rPr>
              <w:t>股。江楚玲通过普通证券账户持有</w:t>
            </w:r>
            <w:r w:rsidRPr="00F50B51">
              <w:rPr>
                <w:rFonts w:ascii="宋体" w:eastAsia="宋体" w:hAnsi="宋体" w:cs="宋体"/>
                <w:sz w:val="18"/>
                <w:szCs w:val="18"/>
              </w:rPr>
              <w:t>0</w:t>
            </w:r>
            <w:r w:rsidRPr="00F50B51">
              <w:rPr>
                <w:rFonts w:ascii="宋体" w:eastAsia="宋体" w:hAnsi="宋体" w:cs="宋体"/>
                <w:sz w:val="18"/>
                <w:szCs w:val="18"/>
              </w:rPr>
              <w:t>股，通过安信证券有限责任公司客户信用交易担保证券账户持有</w:t>
            </w:r>
            <w:r w:rsidRPr="00F50B51">
              <w:rPr>
                <w:rFonts w:ascii="宋体" w:eastAsia="宋体" w:hAnsi="宋体" w:cs="宋体"/>
                <w:sz w:val="18"/>
                <w:szCs w:val="18"/>
              </w:rPr>
              <w:t>1,480,000</w:t>
            </w:r>
            <w:r w:rsidRPr="00F50B51">
              <w:rPr>
                <w:rFonts w:ascii="宋体" w:eastAsia="宋体" w:hAnsi="宋体" w:cs="宋体"/>
                <w:sz w:val="18"/>
                <w:szCs w:val="18"/>
              </w:rPr>
              <w:t>股，合计</w:t>
            </w:r>
            <w:r w:rsidRPr="00F50B51">
              <w:rPr>
                <w:rFonts w:ascii="宋体" w:eastAsia="宋体" w:hAnsi="宋体" w:cs="宋体"/>
                <w:sz w:val="18"/>
                <w:szCs w:val="18"/>
              </w:rPr>
              <w:t>1,480,000</w:t>
            </w:r>
            <w:r w:rsidRPr="00F50B51">
              <w:rPr>
                <w:rFonts w:ascii="宋体" w:eastAsia="宋体" w:hAnsi="宋体" w:cs="宋体"/>
                <w:sz w:val="18"/>
                <w:szCs w:val="18"/>
              </w:rPr>
              <w:t>股。</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公司前</w:t>
      </w:r>
      <w:r w:rsidRPr="00F50B51">
        <w:rPr>
          <w:rFonts w:ascii="宋体" w:eastAsia="宋体" w:hAnsi="宋体" w:cs="宋体"/>
          <w:sz w:val="18"/>
          <w:szCs w:val="18"/>
        </w:rPr>
        <w:t>10</w:t>
      </w:r>
      <w:r w:rsidRPr="00F50B51">
        <w:rPr>
          <w:rFonts w:ascii="宋体" w:eastAsia="宋体" w:hAnsi="宋体" w:cs="宋体"/>
          <w:sz w:val="18"/>
          <w:szCs w:val="18"/>
        </w:rPr>
        <w:t>名普通股股东、前</w:t>
      </w:r>
      <w:r w:rsidRPr="00F50B51">
        <w:rPr>
          <w:rFonts w:ascii="宋体" w:eastAsia="宋体" w:hAnsi="宋体" w:cs="宋体"/>
          <w:sz w:val="18"/>
          <w:szCs w:val="18"/>
        </w:rPr>
        <w:t>10</w:t>
      </w:r>
      <w:r w:rsidRPr="00F50B51">
        <w:rPr>
          <w:rFonts w:ascii="宋体" w:eastAsia="宋体" w:hAnsi="宋体" w:cs="宋体"/>
          <w:sz w:val="18"/>
          <w:szCs w:val="18"/>
        </w:rPr>
        <w:t>名无限售条件普通股股东在报告期内是否进行约定购回交易</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是</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否</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公司前</w:t>
      </w:r>
      <w:r w:rsidRPr="00F50B51">
        <w:rPr>
          <w:rFonts w:ascii="宋体" w:eastAsia="宋体" w:hAnsi="宋体" w:cs="宋体"/>
          <w:sz w:val="18"/>
          <w:szCs w:val="18"/>
        </w:rPr>
        <w:t>10</w:t>
      </w:r>
      <w:r w:rsidRPr="00F50B51">
        <w:rPr>
          <w:rFonts w:ascii="宋体" w:eastAsia="宋体" w:hAnsi="宋体" w:cs="宋体"/>
          <w:sz w:val="18"/>
          <w:szCs w:val="18"/>
        </w:rPr>
        <w:t>名普通股股东、前</w:t>
      </w:r>
      <w:r w:rsidRPr="00F50B51">
        <w:rPr>
          <w:rFonts w:ascii="宋体" w:eastAsia="宋体" w:hAnsi="宋体" w:cs="宋体"/>
          <w:sz w:val="18"/>
          <w:szCs w:val="18"/>
        </w:rPr>
        <w:t>10</w:t>
      </w:r>
      <w:r w:rsidRPr="00F50B51">
        <w:rPr>
          <w:rFonts w:ascii="宋体" w:eastAsia="宋体" w:hAnsi="宋体" w:cs="宋体"/>
          <w:sz w:val="18"/>
          <w:szCs w:val="18"/>
        </w:rPr>
        <w:t>名无限售条件普通股股东在报告期内未进行约定购回交易。</w:t>
      </w:r>
    </w:p>
    <w:p w:rsidR="0058782B" w:rsidRPr="00F50B51" w:rsidRDefault="00F80EE7">
      <w:pPr>
        <w:pStyle w:val="2"/>
        <w:spacing w:before="300" w:after="300" w:line="320" w:lineRule="exact"/>
        <w:rPr>
          <w:rFonts w:ascii="宋体" w:eastAsia="宋体" w:hAnsi="宋体" w:cs="宋体"/>
          <w:b/>
          <w:bCs/>
          <w:sz w:val="24"/>
          <w:szCs w:val="24"/>
        </w:rPr>
      </w:pPr>
      <w:bookmarkStart w:id="89" w:name="_Toc988977"/>
      <w:r w:rsidRPr="00F50B51">
        <w:rPr>
          <w:rFonts w:ascii="宋体" w:eastAsia="宋体" w:hAnsi="宋体" w:cs="宋体"/>
          <w:b/>
          <w:bCs/>
          <w:sz w:val="24"/>
          <w:szCs w:val="24"/>
        </w:rPr>
        <w:lastRenderedPageBreak/>
        <w:t>四、董事、监事和高级管理人员持股变动</w:t>
      </w:r>
      <w:bookmarkEnd w:id="89"/>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63"/>
        <w:gridCol w:w="964"/>
        <w:gridCol w:w="964"/>
        <w:gridCol w:w="964"/>
        <w:gridCol w:w="964"/>
        <w:gridCol w:w="964"/>
        <w:gridCol w:w="964"/>
        <w:gridCol w:w="964"/>
        <w:gridCol w:w="964"/>
        <w:gridCol w:w="964"/>
      </w:tblGrid>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姓名</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职务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任职状态</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期初持股数（股）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本期增持股份数量（股）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本期减持股份数量（股）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期末持股数（股）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期初被授予的限制性股票数量（股）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本期被授予的限制性股票数量（股）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期末被授予的限制性股票数量（股）</w:t>
            </w: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董事长</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现任</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51,836,400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51,836,400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陈伟东</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董事、总经理</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现任</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12,562,970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12,562,970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陈伟儿</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董事、副总经理</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现任</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13,682,115</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13,682,115</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周伟平</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董事、副总经理</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现任</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264,000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264,000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高再荣</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董立董事</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现任</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肖连生</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董立董事</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现任</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廖俊雄</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董立董事</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现任</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姚明钦</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监事会主席</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现任</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付胜</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监事</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现任</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卢勇甘</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监事</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现任</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李盛意</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副总经理、董事会秘书</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现任</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415,200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415,200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戴湘平</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副总经理、总工程师</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现任</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270,400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270,400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郑丽芳</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财务总监</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现任</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79,131,285</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79,131,285</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w:t>
            </w:r>
          </w:p>
        </w:tc>
      </w:tr>
    </w:tbl>
    <w:p w:rsidR="0058782B" w:rsidRPr="00F50B51" w:rsidRDefault="00F80EE7">
      <w:pPr>
        <w:pStyle w:val="2"/>
        <w:spacing w:before="300" w:after="300" w:line="320" w:lineRule="exact"/>
        <w:rPr>
          <w:rFonts w:ascii="宋体" w:eastAsia="宋体" w:hAnsi="宋体" w:cs="宋体"/>
          <w:b/>
          <w:bCs/>
          <w:sz w:val="24"/>
          <w:szCs w:val="24"/>
        </w:rPr>
      </w:pPr>
      <w:bookmarkStart w:id="90" w:name="_Toc988978"/>
      <w:r w:rsidRPr="00F50B51">
        <w:rPr>
          <w:rFonts w:ascii="宋体" w:eastAsia="宋体" w:hAnsi="宋体" w:cs="宋体"/>
          <w:b/>
          <w:bCs/>
          <w:sz w:val="24"/>
          <w:szCs w:val="24"/>
        </w:rPr>
        <w:t>五、控股股东或实际控制人变更情况</w:t>
      </w:r>
      <w:bookmarkEnd w:id="90"/>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控股股东报告期内变更</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公司报告期控股股东未发生变更。</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实际控制人报告期内变更</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公司报告期实际控制人未发生变更。</w:t>
      </w:r>
    </w:p>
    <w:p w:rsidR="0058782B" w:rsidRPr="00F50B51" w:rsidRDefault="00F80EE7">
      <w:r w:rsidRPr="00F50B51">
        <w:br w:type="page"/>
      </w:r>
    </w:p>
    <w:p w:rsidR="0058782B" w:rsidRPr="00F50B51" w:rsidRDefault="00F80EE7">
      <w:pPr>
        <w:pStyle w:val="headingh1"/>
        <w:spacing w:before="340" w:after="330" w:line="773" w:lineRule="exact"/>
        <w:jc w:val="center"/>
        <w:rPr>
          <w:rFonts w:ascii="宋体" w:eastAsia="宋体" w:hAnsi="宋体" w:cs="宋体"/>
          <w:b/>
          <w:bCs/>
          <w:sz w:val="32"/>
          <w:szCs w:val="32"/>
        </w:rPr>
      </w:pPr>
      <w:bookmarkStart w:id="91" w:name="_Toc988979"/>
      <w:r w:rsidRPr="00F50B51">
        <w:rPr>
          <w:rFonts w:ascii="宋体" w:eastAsia="宋体" w:hAnsi="宋体" w:cs="宋体"/>
          <w:b/>
          <w:bCs/>
          <w:sz w:val="32"/>
          <w:szCs w:val="32"/>
        </w:rPr>
        <w:lastRenderedPageBreak/>
        <w:t>第八节</w:t>
      </w:r>
      <w:r w:rsidRPr="00F50B51">
        <w:rPr>
          <w:rFonts w:ascii="宋体" w:eastAsia="宋体" w:hAnsi="宋体" w:cs="宋体"/>
          <w:b/>
          <w:bCs/>
          <w:sz w:val="32"/>
          <w:szCs w:val="32"/>
        </w:rPr>
        <w:t xml:space="preserve"> </w:t>
      </w:r>
      <w:r w:rsidRPr="00F50B51">
        <w:rPr>
          <w:rFonts w:ascii="宋体" w:eastAsia="宋体" w:hAnsi="宋体" w:cs="宋体"/>
          <w:b/>
          <w:bCs/>
          <w:sz w:val="32"/>
          <w:szCs w:val="32"/>
        </w:rPr>
        <w:t>优先股相关情况</w:t>
      </w:r>
      <w:bookmarkEnd w:id="91"/>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报告期公司不存在优先股。</w:t>
      </w:r>
    </w:p>
    <w:p w:rsidR="0058782B" w:rsidRPr="00F50B51" w:rsidRDefault="00F80EE7">
      <w:r w:rsidRPr="00F50B51">
        <w:br w:type="page"/>
      </w:r>
    </w:p>
    <w:p w:rsidR="0058782B" w:rsidRPr="00F50B51" w:rsidRDefault="00F80EE7">
      <w:pPr>
        <w:pStyle w:val="headingh1"/>
        <w:spacing w:before="340" w:after="330" w:line="773" w:lineRule="exact"/>
        <w:jc w:val="center"/>
        <w:rPr>
          <w:rFonts w:ascii="宋体" w:eastAsia="宋体" w:hAnsi="宋体" w:cs="宋体"/>
          <w:b/>
          <w:bCs/>
          <w:sz w:val="32"/>
          <w:szCs w:val="32"/>
        </w:rPr>
      </w:pPr>
      <w:bookmarkStart w:id="92" w:name="_Toc988980"/>
      <w:r w:rsidRPr="00F50B51">
        <w:rPr>
          <w:rFonts w:ascii="宋体" w:eastAsia="宋体" w:hAnsi="宋体" w:cs="宋体"/>
          <w:b/>
          <w:bCs/>
          <w:sz w:val="32"/>
          <w:szCs w:val="32"/>
        </w:rPr>
        <w:lastRenderedPageBreak/>
        <w:t>第九节</w:t>
      </w:r>
      <w:r w:rsidRPr="00F50B51">
        <w:rPr>
          <w:rFonts w:ascii="宋体" w:eastAsia="宋体" w:hAnsi="宋体" w:cs="宋体"/>
          <w:b/>
          <w:bCs/>
          <w:sz w:val="32"/>
          <w:szCs w:val="32"/>
        </w:rPr>
        <w:t xml:space="preserve"> </w:t>
      </w:r>
      <w:r w:rsidRPr="00F50B51">
        <w:rPr>
          <w:rFonts w:ascii="宋体" w:eastAsia="宋体" w:hAnsi="宋体" w:cs="宋体"/>
          <w:b/>
          <w:bCs/>
          <w:sz w:val="32"/>
          <w:szCs w:val="32"/>
        </w:rPr>
        <w:t>债券相关情况</w:t>
      </w:r>
      <w:bookmarkEnd w:id="92"/>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pStyle w:val="2"/>
        <w:spacing w:before="300" w:after="300" w:line="320" w:lineRule="exact"/>
        <w:rPr>
          <w:rFonts w:ascii="宋体" w:eastAsia="宋体" w:hAnsi="宋体" w:cs="宋体"/>
          <w:b/>
          <w:bCs/>
          <w:sz w:val="24"/>
          <w:szCs w:val="24"/>
        </w:rPr>
      </w:pPr>
      <w:bookmarkStart w:id="93" w:name="_Toc988981"/>
      <w:r w:rsidRPr="00F50B51">
        <w:rPr>
          <w:rFonts w:ascii="宋体" w:eastAsia="宋体" w:hAnsi="宋体" w:cs="宋体"/>
          <w:b/>
          <w:bCs/>
          <w:sz w:val="24"/>
          <w:szCs w:val="24"/>
        </w:rPr>
        <w:t>一、企业债券</w:t>
      </w:r>
      <w:bookmarkEnd w:id="93"/>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报告期公司不存在企业债券。</w:t>
      </w:r>
    </w:p>
    <w:p w:rsidR="0058782B" w:rsidRPr="00F50B51" w:rsidRDefault="00F80EE7">
      <w:pPr>
        <w:pStyle w:val="2"/>
        <w:spacing w:before="300" w:after="300" w:line="320" w:lineRule="exact"/>
        <w:rPr>
          <w:rFonts w:ascii="宋体" w:eastAsia="宋体" w:hAnsi="宋体" w:cs="宋体"/>
          <w:b/>
          <w:bCs/>
          <w:sz w:val="24"/>
          <w:szCs w:val="24"/>
        </w:rPr>
      </w:pPr>
      <w:bookmarkStart w:id="94" w:name="_Toc988982"/>
      <w:r w:rsidRPr="00F50B51">
        <w:rPr>
          <w:rFonts w:ascii="宋体" w:eastAsia="宋体" w:hAnsi="宋体" w:cs="宋体"/>
          <w:b/>
          <w:bCs/>
          <w:sz w:val="24"/>
          <w:szCs w:val="24"/>
        </w:rPr>
        <w:t>二、公司债券</w:t>
      </w:r>
      <w:bookmarkEnd w:id="94"/>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报告期公司不存在公司债券。</w:t>
      </w:r>
    </w:p>
    <w:p w:rsidR="0058782B" w:rsidRPr="00F50B51" w:rsidRDefault="00F80EE7">
      <w:pPr>
        <w:pStyle w:val="2"/>
        <w:spacing w:before="300" w:after="300" w:line="320" w:lineRule="exact"/>
        <w:rPr>
          <w:rFonts w:ascii="宋体" w:eastAsia="宋体" w:hAnsi="宋体" w:cs="宋体"/>
          <w:b/>
          <w:bCs/>
          <w:sz w:val="24"/>
          <w:szCs w:val="24"/>
        </w:rPr>
      </w:pPr>
      <w:bookmarkStart w:id="95" w:name="_Toc988983"/>
      <w:r w:rsidRPr="00F50B51">
        <w:rPr>
          <w:rFonts w:ascii="宋体" w:eastAsia="宋体" w:hAnsi="宋体" w:cs="宋体"/>
          <w:b/>
          <w:bCs/>
          <w:sz w:val="24"/>
          <w:szCs w:val="24"/>
        </w:rPr>
        <w:t>三、非金融企业债务融资工具</w:t>
      </w:r>
      <w:bookmarkEnd w:id="95"/>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报告期公司不存在非金融企业债务融资工具。</w:t>
      </w:r>
    </w:p>
    <w:p w:rsidR="0058782B" w:rsidRPr="00F50B51" w:rsidRDefault="00F80EE7">
      <w:pPr>
        <w:pStyle w:val="2"/>
        <w:spacing w:before="300" w:after="300" w:line="320" w:lineRule="exact"/>
        <w:rPr>
          <w:rFonts w:ascii="宋体" w:eastAsia="宋体" w:hAnsi="宋体" w:cs="宋体"/>
          <w:b/>
          <w:bCs/>
          <w:sz w:val="24"/>
          <w:szCs w:val="24"/>
        </w:rPr>
      </w:pPr>
      <w:bookmarkStart w:id="96" w:name="_Toc988984"/>
      <w:r w:rsidRPr="00F50B51">
        <w:rPr>
          <w:rFonts w:ascii="宋体" w:eastAsia="宋体" w:hAnsi="宋体" w:cs="宋体"/>
          <w:b/>
          <w:bCs/>
          <w:sz w:val="24"/>
          <w:szCs w:val="24"/>
        </w:rPr>
        <w:t>四、可转换公司债券</w:t>
      </w:r>
      <w:bookmarkEnd w:id="96"/>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pStyle w:val="3"/>
        <w:spacing w:line="280" w:lineRule="exact"/>
        <w:jc w:val="left"/>
        <w:rPr>
          <w:rFonts w:ascii="宋体" w:hAnsi="宋体" w:cs="宋体"/>
          <w:b/>
          <w:bCs/>
        </w:rPr>
      </w:pPr>
      <w:bookmarkStart w:id="97" w:name="_Toc988985"/>
      <w:r w:rsidRPr="00F50B51">
        <w:rPr>
          <w:rFonts w:ascii="宋体" w:hAnsi="宋体" w:cs="宋体"/>
          <w:b/>
          <w:bCs/>
        </w:rPr>
        <w:t>1</w:t>
      </w:r>
      <w:r w:rsidRPr="00F50B51">
        <w:rPr>
          <w:rFonts w:ascii="宋体" w:hAnsi="宋体" w:cs="宋体"/>
          <w:b/>
          <w:bCs/>
        </w:rPr>
        <w:t>、转股价格历次调整、修正情况</w:t>
      </w:r>
      <w:bookmarkEnd w:id="97"/>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1</w:t>
      </w:r>
      <w:r w:rsidRPr="00F50B51">
        <w:rPr>
          <w:rFonts w:cs="Times New Roman" w:hint="eastAsia"/>
          <w:sz w:val="18"/>
          <w:szCs w:val="18"/>
        </w:rPr>
        <w:t>、公司于</w:t>
      </w:r>
      <w:r w:rsidRPr="00F50B51">
        <w:rPr>
          <w:rFonts w:ascii="Times New Roman" w:hAnsi="Times New Roman" w:cs="Times New Roman"/>
          <w:sz w:val="18"/>
          <w:szCs w:val="18"/>
        </w:rPr>
        <w:t>2020</w:t>
      </w:r>
      <w:r w:rsidRPr="00F50B51">
        <w:rPr>
          <w:rFonts w:cs="Times New Roman" w:hint="eastAsia"/>
          <w:sz w:val="18"/>
          <w:szCs w:val="18"/>
        </w:rPr>
        <w:t>年</w:t>
      </w:r>
      <w:r w:rsidRPr="00F50B51">
        <w:rPr>
          <w:rFonts w:ascii="Times New Roman" w:hAnsi="Times New Roman" w:cs="Times New Roman"/>
          <w:sz w:val="18"/>
          <w:szCs w:val="18"/>
        </w:rPr>
        <w:t>2</w:t>
      </w:r>
      <w:r w:rsidRPr="00F50B51">
        <w:rPr>
          <w:rFonts w:cs="Times New Roman" w:hint="eastAsia"/>
          <w:sz w:val="18"/>
          <w:szCs w:val="18"/>
        </w:rPr>
        <w:t>月</w:t>
      </w:r>
      <w:r w:rsidRPr="00F50B51">
        <w:rPr>
          <w:rFonts w:ascii="Times New Roman" w:hAnsi="Times New Roman" w:cs="Times New Roman"/>
          <w:sz w:val="18"/>
          <w:szCs w:val="18"/>
        </w:rPr>
        <w:t>13</w:t>
      </w:r>
      <w:r w:rsidRPr="00F50B51">
        <w:rPr>
          <w:rFonts w:cs="Times New Roman" w:hint="eastAsia"/>
          <w:sz w:val="18"/>
          <w:szCs w:val="18"/>
        </w:rPr>
        <w:t>日召开了第三届董事会</w:t>
      </w:r>
      <w:r w:rsidRPr="00F50B51">
        <w:rPr>
          <w:rFonts w:ascii="Times New Roman" w:hAnsi="Times New Roman" w:cs="Times New Roman"/>
          <w:sz w:val="18"/>
          <w:szCs w:val="18"/>
        </w:rPr>
        <w:t>2020</w:t>
      </w:r>
      <w:r w:rsidRPr="00F50B51">
        <w:rPr>
          <w:rFonts w:cs="Times New Roman" w:hint="eastAsia"/>
          <w:sz w:val="18"/>
          <w:szCs w:val="18"/>
        </w:rPr>
        <w:t>年第一次临时会议和第三届监事会第十四次会议，审议通过了《关于公司</w:t>
      </w:r>
      <w:r w:rsidRPr="00F50B51">
        <w:rPr>
          <w:rFonts w:ascii="Times New Roman" w:hAnsi="Times New Roman" w:cs="Times New Roman"/>
          <w:sz w:val="18"/>
          <w:szCs w:val="18"/>
        </w:rPr>
        <w:t>2018</w:t>
      </w:r>
      <w:r w:rsidRPr="00F50B51">
        <w:rPr>
          <w:rFonts w:cs="Times New Roman" w:hint="eastAsia"/>
          <w:sz w:val="18"/>
          <w:szCs w:val="18"/>
        </w:rPr>
        <w:t>年限制性股票激励计划首次授予部分第一个限售期解除限售条件成就的议案》和《关于调整</w:t>
      </w:r>
      <w:r w:rsidRPr="00F50B51">
        <w:rPr>
          <w:rFonts w:ascii="Times New Roman" w:hAnsi="Times New Roman" w:cs="Times New Roman"/>
          <w:sz w:val="18"/>
          <w:szCs w:val="18"/>
        </w:rPr>
        <w:t>2018</w:t>
      </w:r>
      <w:r w:rsidRPr="00F50B51">
        <w:rPr>
          <w:rFonts w:cs="Times New Roman" w:hint="eastAsia"/>
          <w:sz w:val="18"/>
          <w:szCs w:val="18"/>
        </w:rPr>
        <w:t>年限制性股票激励计划限制性股票回购数量和回购价格及回购注销部分激励对象已获授但尚未解除限售的限制性股票的议案》，鉴于</w:t>
      </w:r>
      <w:r w:rsidRPr="00F50B51">
        <w:rPr>
          <w:rFonts w:ascii="Times New Roman" w:hAnsi="Times New Roman" w:cs="Times New Roman"/>
          <w:sz w:val="18"/>
          <w:szCs w:val="18"/>
        </w:rPr>
        <w:t>8</w:t>
      </w:r>
      <w:r w:rsidRPr="00F50B51">
        <w:rPr>
          <w:rFonts w:cs="Times New Roman" w:hint="eastAsia"/>
          <w:sz w:val="18"/>
          <w:szCs w:val="18"/>
        </w:rPr>
        <w:t>名激励对象因个人原因离职，公司董事会对其已获授但尚未解除限售的</w:t>
      </w:r>
      <w:r w:rsidRPr="00F50B51">
        <w:rPr>
          <w:rFonts w:ascii="Times New Roman" w:hAnsi="Times New Roman" w:cs="Times New Roman"/>
          <w:sz w:val="18"/>
          <w:szCs w:val="18"/>
        </w:rPr>
        <w:t>73,500</w:t>
      </w:r>
      <w:r w:rsidRPr="00F50B51">
        <w:rPr>
          <w:rFonts w:cs="Times New Roman" w:hint="eastAsia"/>
          <w:sz w:val="18"/>
          <w:szCs w:val="18"/>
        </w:rPr>
        <w:t>股限制性股票进行回购注销，同时，由于</w:t>
      </w:r>
      <w:r w:rsidRPr="00F50B51">
        <w:rPr>
          <w:rFonts w:ascii="Times New Roman" w:hAnsi="Times New Roman" w:cs="Times New Roman"/>
          <w:sz w:val="18"/>
          <w:szCs w:val="18"/>
        </w:rPr>
        <w:t>2019</w:t>
      </w:r>
      <w:r w:rsidRPr="00F50B51">
        <w:rPr>
          <w:rFonts w:cs="Times New Roman" w:hint="eastAsia"/>
          <w:sz w:val="18"/>
          <w:szCs w:val="18"/>
        </w:rPr>
        <w:t>年</w:t>
      </w:r>
      <w:r w:rsidRPr="00F50B51">
        <w:rPr>
          <w:rFonts w:ascii="Times New Roman" w:hAnsi="Times New Roman" w:cs="Times New Roman"/>
          <w:sz w:val="18"/>
          <w:szCs w:val="18"/>
        </w:rPr>
        <w:t>5</w:t>
      </w:r>
      <w:r w:rsidRPr="00F50B51">
        <w:rPr>
          <w:rFonts w:cs="Times New Roman" w:hint="eastAsia"/>
          <w:sz w:val="18"/>
          <w:szCs w:val="18"/>
        </w:rPr>
        <w:t>月</w:t>
      </w:r>
      <w:r w:rsidRPr="00F50B51">
        <w:rPr>
          <w:rFonts w:ascii="Times New Roman" w:hAnsi="Times New Roman" w:cs="Times New Roman"/>
          <w:sz w:val="18"/>
          <w:szCs w:val="18"/>
        </w:rPr>
        <w:t>24</w:t>
      </w:r>
      <w:r w:rsidRPr="00F50B51">
        <w:rPr>
          <w:rFonts w:cs="Times New Roman" w:hint="eastAsia"/>
          <w:sz w:val="18"/>
          <w:szCs w:val="18"/>
        </w:rPr>
        <w:t>日召开的</w:t>
      </w:r>
      <w:r w:rsidRPr="00F50B51">
        <w:rPr>
          <w:rFonts w:ascii="Times New Roman" w:hAnsi="Times New Roman" w:cs="Times New Roman"/>
          <w:sz w:val="18"/>
          <w:szCs w:val="18"/>
        </w:rPr>
        <w:t>2018</w:t>
      </w:r>
      <w:r w:rsidRPr="00F50B51">
        <w:rPr>
          <w:rFonts w:cs="Times New Roman" w:hint="eastAsia"/>
          <w:sz w:val="18"/>
          <w:szCs w:val="18"/>
        </w:rPr>
        <w:t>年度股东大会审议通过了《关于公司</w:t>
      </w:r>
      <w:r w:rsidRPr="00F50B51">
        <w:rPr>
          <w:rFonts w:ascii="Times New Roman" w:hAnsi="Times New Roman" w:cs="Times New Roman"/>
          <w:sz w:val="18"/>
          <w:szCs w:val="18"/>
        </w:rPr>
        <w:t>2018</w:t>
      </w:r>
      <w:r w:rsidRPr="00F50B51">
        <w:rPr>
          <w:rFonts w:cs="Times New Roman" w:hint="eastAsia"/>
          <w:sz w:val="18"/>
          <w:szCs w:val="18"/>
        </w:rPr>
        <w:t>年度利润分配预案的议案》，根据《广东翔鹭钨业股份有限公司</w:t>
      </w:r>
      <w:r w:rsidRPr="00F50B51">
        <w:rPr>
          <w:rFonts w:ascii="Times New Roman" w:hAnsi="Times New Roman" w:cs="Times New Roman"/>
          <w:sz w:val="18"/>
          <w:szCs w:val="18"/>
        </w:rPr>
        <w:t>2018</w:t>
      </w:r>
      <w:r w:rsidRPr="00F50B51">
        <w:rPr>
          <w:rFonts w:cs="Times New Roman" w:hint="eastAsia"/>
          <w:sz w:val="18"/>
          <w:szCs w:val="18"/>
        </w:rPr>
        <w:t>年限制性股票激励计划》的相关规定，对</w:t>
      </w:r>
      <w:r w:rsidRPr="00F50B51">
        <w:rPr>
          <w:rFonts w:ascii="Times New Roman" w:hAnsi="Times New Roman" w:cs="Times New Roman"/>
          <w:sz w:val="18"/>
          <w:szCs w:val="18"/>
        </w:rPr>
        <w:t>2018</w:t>
      </w:r>
      <w:r w:rsidRPr="00F50B51">
        <w:rPr>
          <w:rFonts w:cs="Times New Roman" w:hint="eastAsia"/>
          <w:sz w:val="18"/>
          <w:szCs w:val="18"/>
        </w:rPr>
        <w:t>年限制性股票激励计划限制性股票回购价格及回购数量进行调整，其中回购数量由</w:t>
      </w:r>
      <w:r w:rsidRPr="00F50B51">
        <w:rPr>
          <w:rFonts w:ascii="Times New Roman" w:hAnsi="Times New Roman" w:cs="Times New Roman"/>
          <w:sz w:val="18"/>
          <w:szCs w:val="18"/>
        </w:rPr>
        <w:t>73,500</w:t>
      </w:r>
      <w:r w:rsidRPr="00F50B51">
        <w:rPr>
          <w:rFonts w:cs="Times New Roman" w:hint="eastAsia"/>
          <w:sz w:val="18"/>
          <w:szCs w:val="18"/>
        </w:rPr>
        <w:t>股调整为</w:t>
      </w:r>
      <w:r w:rsidRPr="00F50B51">
        <w:rPr>
          <w:rFonts w:ascii="Times New Roman" w:hAnsi="Times New Roman" w:cs="Times New Roman"/>
          <w:sz w:val="18"/>
          <w:szCs w:val="18"/>
        </w:rPr>
        <w:t>117,600</w:t>
      </w:r>
      <w:r w:rsidRPr="00F50B51">
        <w:rPr>
          <w:rFonts w:cs="Times New Roman" w:hint="eastAsia"/>
          <w:sz w:val="18"/>
          <w:szCs w:val="18"/>
        </w:rPr>
        <w:t>股，回购价格由</w:t>
      </w:r>
      <w:r w:rsidRPr="00F50B51">
        <w:rPr>
          <w:rFonts w:ascii="Times New Roman" w:hAnsi="Times New Roman" w:cs="Times New Roman"/>
          <w:sz w:val="18"/>
          <w:szCs w:val="18"/>
        </w:rPr>
        <w:t>9.23</w:t>
      </w:r>
      <w:r w:rsidRPr="00F50B51">
        <w:rPr>
          <w:rFonts w:cs="Times New Roman" w:hint="eastAsia"/>
          <w:sz w:val="18"/>
          <w:szCs w:val="18"/>
        </w:rPr>
        <w:t>元</w:t>
      </w:r>
      <w:r w:rsidRPr="00F50B51">
        <w:rPr>
          <w:rFonts w:ascii="Times New Roman" w:hAnsi="Times New Roman" w:cs="Times New Roman"/>
          <w:sz w:val="18"/>
          <w:szCs w:val="18"/>
        </w:rPr>
        <w:t>/</w:t>
      </w:r>
      <w:r w:rsidRPr="00F50B51">
        <w:rPr>
          <w:rFonts w:cs="Times New Roman" w:hint="eastAsia"/>
          <w:sz w:val="18"/>
          <w:szCs w:val="18"/>
        </w:rPr>
        <w:t>股调整为</w:t>
      </w:r>
      <w:r w:rsidRPr="00F50B51">
        <w:rPr>
          <w:rFonts w:ascii="Times New Roman" w:hAnsi="Times New Roman" w:cs="Times New Roman"/>
          <w:sz w:val="18"/>
          <w:szCs w:val="18"/>
        </w:rPr>
        <w:t>5.71</w:t>
      </w:r>
      <w:r w:rsidRPr="00F50B51">
        <w:rPr>
          <w:rFonts w:cs="Times New Roman" w:hint="eastAsia"/>
          <w:sz w:val="18"/>
          <w:szCs w:val="18"/>
        </w:rPr>
        <w:t>元</w:t>
      </w:r>
      <w:r w:rsidRPr="00F50B51">
        <w:rPr>
          <w:rFonts w:ascii="Times New Roman" w:hAnsi="Times New Roman" w:cs="Times New Roman"/>
          <w:sz w:val="18"/>
          <w:szCs w:val="18"/>
        </w:rPr>
        <w:t>/</w:t>
      </w:r>
      <w:r w:rsidRPr="00F50B51">
        <w:rPr>
          <w:rFonts w:cs="Times New Roman" w:hint="eastAsia"/>
          <w:sz w:val="18"/>
          <w:szCs w:val="18"/>
        </w:rPr>
        <w:t>股。后续公司完成了前述限制性股票的回购注销手续，公司总股本由</w:t>
      </w:r>
      <w:r w:rsidRPr="00F50B51">
        <w:rPr>
          <w:rFonts w:ascii="Times New Roman" w:hAnsi="Times New Roman" w:cs="Times New Roman"/>
          <w:sz w:val="18"/>
          <w:szCs w:val="18"/>
        </w:rPr>
        <w:t>274,</w:t>
      </w:r>
      <w:r w:rsidRPr="00F50B51">
        <w:rPr>
          <w:rFonts w:ascii="Times New Roman" w:hAnsi="Times New Roman" w:cs="Times New Roman"/>
          <w:sz w:val="18"/>
          <w:szCs w:val="18"/>
        </w:rPr>
        <w:t>603,816</w:t>
      </w:r>
      <w:r w:rsidRPr="00F50B51">
        <w:rPr>
          <w:rFonts w:cs="Times New Roman" w:hint="eastAsia"/>
          <w:sz w:val="18"/>
          <w:szCs w:val="18"/>
        </w:rPr>
        <w:t>股减少至</w:t>
      </w:r>
      <w:r w:rsidRPr="00F50B51">
        <w:rPr>
          <w:rFonts w:ascii="Times New Roman" w:hAnsi="Times New Roman" w:cs="Times New Roman"/>
          <w:sz w:val="18"/>
          <w:szCs w:val="18"/>
        </w:rPr>
        <w:t>274,486,216</w:t>
      </w:r>
      <w:r w:rsidRPr="00F50B51">
        <w:rPr>
          <w:rFonts w:cs="Times New Roman" w:hint="eastAsia"/>
          <w:sz w:val="18"/>
          <w:szCs w:val="18"/>
        </w:rPr>
        <w:t>股。根据相关规定及限制性股票回购注销情况，公司对</w:t>
      </w:r>
      <w:r w:rsidRPr="00F50B51">
        <w:rPr>
          <w:rFonts w:ascii="Times New Roman" w:hAnsi="Times New Roman" w:cs="Times New Roman"/>
          <w:sz w:val="18"/>
          <w:szCs w:val="18"/>
        </w:rPr>
        <w:t>“</w:t>
      </w:r>
      <w:r w:rsidRPr="00F50B51">
        <w:rPr>
          <w:rFonts w:cs="Times New Roman" w:hint="eastAsia"/>
          <w:sz w:val="18"/>
          <w:szCs w:val="18"/>
        </w:rPr>
        <w:t>翔鹭转债</w:t>
      </w:r>
      <w:r w:rsidRPr="00F50B51">
        <w:rPr>
          <w:rFonts w:ascii="Times New Roman" w:hAnsi="Times New Roman" w:cs="Times New Roman"/>
          <w:sz w:val="18"/>
          <w:szCs w:val="18"/>
        </w:rPr>
        <w:t>”</w:t>
      </w:r>
      <w:r w:rsidRPr="00F50B51">
        <w:rPr>
          <w:rFonts w:cs="Times New Roman" w:hint="eastAsia"/>
          <w:sz w:val="18"/>
          <w:szCs w:val="18"/>
        </w:rPr>
        <w:t>的转股价格进行调整，经计算本次调整的转股价格四舍五入后仍为</w:t>
      </w:r>
      <w:r w:rsidRPr="00F50B51">
        <w:rPr>
          <w:rFonts w:ascii="Times New Roman" w:hAnsi="Times New Roman" w:cs="Times New Roman"/>
          <w:sz w:val="18"/>
          <w:szCs w:val="18"/>
        </w:rPr>
        <w:t>15.36</w:t>
      </w:r>
      <w:r w:rsidRPr="00F50B51">
        <w:rPr>
          <w:rFonts w:cs="Times New Roman" w:hint="eastAsia"/>
          <w:sz w:val="18"/>
          <w:szCs w:val="18"/>
        </w:rPr>
        <w:t>元</w:t>
      </w:r>
      <w:r w:rsidRPr="00F50B51">
        <w:rPr>
          <w:rFonts w:ascii="Times New Roman" w:hAnsi="Times New Roman" w:cs="Times New Roman"/>
          <w:sz w:val="18"/>
          <w:szCs w:val="18"/>
        </w:rPr>
        <w:t>/</w:t>
      </w:r>
      <w:r w:rsidRPr="00F50B51">
        <w:rPr>
          <w:rFonts w:cs="Times New Roman" w:hint="eastAsia"/>
          <w:sz w:val="18"/>
          <w:szCs w:val="18"/>
        </w:rPr>
        <w:t>股。</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2</w:t>
      </w:r>
      <w:r w:rsidRPr="00F50B51">
        <w:rPr>
          <w:rFonts w:cs="Times New Roman" w:hint="eastAsia"/>
          <w:sz w:val="18"/>
          <w:szCs w:val="18"/>
        </w:rPr>
        <w:t>、公司分别于</w:t>
      </w:r>
      <w:r w:rsidRPr="00F50B51">
        <w:rPr>
          <w:rFonts w:ascii="Times New Roman" w:hAnsi="Times New Roman" w:cs="Times New Roman"/>
          <w:sz w:val="18"/>
          <w:szCs w:val="18"/>
        </w:rPr>
        <w:t>2020</w:t>
      </w:r>
      <w:r w:rsidRPr="00F50B51">
        <w:rPr>
          <w:rFonts w:cs="Times New Roman" w:hint="eastAsia"/>
          <w:sz w:val="18"/>
          <w:szCs w:val="18"/>
        </w:rPr>
        <w:t>年</w:t>
      </w:r>
      <w:r w:rsidRPr="00F50B51">
        <w:rPr>
          <w:rFonts w:ascii="Times New Roman" w:hAnsi="Times New Roman" w:cs="Times New Roman"/>
          <w:sz w:val="18"/>
          <w:szCs w:val="18"/>
        </w:rPr>
        <w:t>4</w:t>
      </w:r>
      <w:r w:rsidRPr="00F50B51">
        <w:rPr>
          <w:rFonts w:cs="Times New Roman" w:hint="eastAsia"/>
          <w:sz w:val="18"/>
          <w:szCs w:val="18"/>
        </w:rPr>
        <w:t>月</w:t>
      </w:r>
      <w:r w:rsidRPr="00F50B51">
        <w:rPr>
          <w:rFonts w:ascii="Times New Roman" w:hAnsi="Times New Roman" w:cs="Times New Roman"/>
          <w:sz w:val="18"/>
          <w:szCs w:val="18"/>
        </w:rPr>
        <w:t>28</w:t>
      </w:r>
      <w:r w:rsidRPr="00F50B51">
        <w:rPr>
          <w:rFonts w:cs="Times New Roman" w:hint="eastAsia"/>
          <w:sz w:val="18"/>
          <w:szCs w:val="18"/>
        </w:rPr>
        <w:t>日、</w:t>
      </w:r>
      <w:r w:rsidRPr="00F50B51">
        <w:rPr>
          <w:rFonts w:ascii="Times New Roman" w:hAnsi="Times New Roman" w:cs="Times New Roman"/>
          <w:sz w:val="18"/>
          <w:szCs w:val="18"/>
        </w:rPr>
        <w:t>2020</w:t>
      </w:r>
      <w:r w:rsidRPr="00F50B51">
        <w:rPr>
          <w:rFonts w:cs="Times New Roman" w:hint="eastAsia"/>
          <w:sz w:val="18"/>
          <w:szCs w:val="18"/>
        </w:rPr>
        <w:t>年</w:t>
      </w:r>
      <w:r w:rsidRPr="00F50B51">
        <w:rPr>
          <w:rFonts w:ascii="Times New Roman" w:hAnsi="Times New Roman" w:cs="Times New Roman"/>
          <w:sz w:val="18"/>
          <w:szCs w:val="18"/>
        </w:rPr>
        <w:t>5</w:t>
      </w:r>
      <w:r w:rsidRPr="00F50B51">
        <w:rPr>
          <w:rFonts w:cs="Times New Roman" w:hint="eastAsia"/>
          <w:sz w:val="18"/>
          <w:szCs w:val="18"/>
        </w:rPr>
        <w:t>月</w:t>
      </w:r>
      <w:r w:rsidRPr="00F50B51">
        <w:rPr>
          <w:rFonts w:ascii="Times New Roman" w:hAnsi="Times New Roman" w:cs="Times New Roman"/>
          <w:sz w:val="18"/>
          <w:szCs w:val="18"/>
        </w:rPr>
        <w:t>20</w:t>
      </w:r>
      <w:r w:rsidRPr="00F50B51">
        <w:rPr>
          <w:rFonts w:cs="Times New Roman" w:hint="eastAsia"/>
          <w:sz w:val="18"/>
          <w:szCs w:val="18"/>
        </w:rPr>
        <w:t>日召开第三届董事会</w:t>
      </w:r>
      <w:r w:rsidRPr="00F50B51">
        <w:rPr>
          <w:rFonts w:ascii="Times New Roman" w:hAnsi="Times New Roman" w:cs="Times New Roman"/>
          <w:sz w:val="18"/>
          <w:szCs w:val="18"/>
        </w:rPr>
        <w:t>2020</w:t>
      </w:r>
      <w:r w:rsidRPr="00F50B51">
        <w:rPr>
          <w:rFonts w:cs="Times New Roman" w:hint="eastAsia"/>
          <w:sz w:val="18"/>
          <w:szCs w:val="18"/>
        </w:rPr>
        <w:t>年第二次临时会议和</w:t>
      </w:r>
      <w:r w:rsidRPr="00F50B51">
        <w:rPr>
          <w:rFonts w:ascii="Times New Roman" w:hAnsi="Times New Roman" w:cs="Times New Roman"/>
          <w:sz w:val="18"/>
          <w:szCs w:val="18"/>
        </w:rPr>
        <w:t>2019</w:t>
      </w:r>
      <w:r w:rsidRPr="00F50B51">
        <w:rPr>
          <w:rFonts w:cs="Times New Roman" w:hint="eastAsia"/>
          <w:sz w:val="18"/>
          <w:szCs w:val="18"/>
        </w:rPr>
        <w:t>年年度股东大会审议通过了《关于</w:t>
      </w:r>
      <w:r w:rsidRPr="00F50B51">
        <w:rPr>
          <w:rFonts w:ascii="Times New Roman" w:hAnsi="Times New Roman" w:cs="Times New Roman"/>
          <w:sz w:val="18"/>
          <w:szCs w:val="18"/>
        </w:rPr>
        <w:t>2019</w:t>
      </w:r>
      <w:r w:rsidRPr="00F50B51">
        <w:rPr>
          <w:rFonts w:cs="Times New Roman" w:hint="eastAsia"/>
          <w:sz w:val="18"/>
          <w:szCs w:val="18"/>
        </w:rPr>
        <w:t>年度利润分配预案的议案》。本次权益分派股权登记日为：</w:t>
      </w:r>
      <w:r w:rsidRPr="00F50B51">
        <w:rPr>
          <w:rFonts w:ascii="Times New Roman" w:hAnsi="Times New Roman" w:cs="Times New Roman"/>
          <w:sz w:val="18"/>
          <w:szCs w:val="18"/>
        </w:rPr>
        <w:t>2020</w:t>
      </w:r>
      <w:r w:rsidRPr="00F50B51">
        <w:rPr>
          <w:rFonts w:cs="Times New Roman" w:hint="eastAsia"/>
          <w:sz w:val="18"/>
          <w:szCs w:val="18"/>
        </w:rPr>
        <w:t>年</w:t>
      </w:r>
      <w:r w:rsidRPr="00F50B51">
        <w:rPr>
          <w:rFonts w:ascii="Times New Roman" w:hAnsi="Times New Roman" w:cs="Times New Roman"/>
          <w:sz w:val="18"/>
          <w:szCs w:val="18"/>
        </w:rPr>
        <w:t>6</w:t>
      </w:r>
      <w:r w:rsidRPr="00F50B51">
        <w:rPr>
          <w:rFonts w:cs="Times New Roman" w:hint="eastAsia"/>
          <w:sz w:val="18"/>
          <w:szCs w:val="18"/>
        </w:rPr>
        <w:t>月</w:t>
      </w:r>
      <w:r w:rsidRPr="00F50B51">
        <w:rPr>
          <w:rFonts w:ascii="Times New Roman" w:hAnsi="Times New Roman" w:cs="Times New Roman"/>
          <w:sz w:val="18"/>
          <w:szCs w:val="18"/>
        </w:rPr>
        <w:t>18</w:t>
      </w:r>
      <w:r w:rsidRPr="00F50B51">
        <w:rPr>
          <w:rFonts w:cs="Times New Roman" w:hint="eastAsia"/>
          <w:sz w:val="18"/>
          <w:szCs w:val="18"/>
        </w:rPr>
        <w:t>日，除权除息日为：</w:t>
      </w:r>
      <w:r w:rsidRPr="00F50B51">
        <w:rPr>
          <w:rFonts w:ascii="Times New Roman" w:hAnsi="Times New Roman" w:cs="Times New Roman"/>
          <w:sz w:val="18"/>
          <w:szCs w:val="18"/>
        </w:rPr>
        <w:t>2020</w:t>
      </w:r>
      <w:r w:rsidRPr="00F50B51">
        <w:rPr>
          <w:rFonts w:cs="Times New Roman" w:hint="eastAsia"/>
          <w:sz w:val="18"/>
          <w:szCs w:val="18"/>
        </w:rPr>
        <w:t>年</w:t>
      </w:r>
      <w:r w:rsidRPr="00F50B51">
        <w:rPr>
          <w:rFonts w:ascii="Times New Roman" w:hAnsi="Times New Roman" w:cs="Times New Roman"/>
          <w:sz w:val="18"/>
          <w:szCs w:val="18"/>
        </w:rPr>
        <w:t>6</w:t>
      </w:r>
      <w:r w:rsidRPr="00F50B51">
        <w:rPr>
          <w:rFonts w:cs="Times New Roman" w:hint="eastAsia"/>
          <w:sz w:val="18"/>
          <w:szCs w:val="18"/>
        </w:rPr>
        <w:t>月</w:t>
      </w:r>
      <w:r w:rsidRPr="00F50B51">
        <w:rPr>
          <w:rFonts w:ascii="Times New Roman" w:hAnsi="Times New Roman" w:cs="Times New Roman"/>
          <w:sz w:val="18"/>
          <w:szCs w:val="18"/>
        </w:rPr>
        <w:t>19</w:t>
      </w:r>
      <w:r w:rsidRPr="00F50B51">
        <w:rPr>
          <w:rFonts w:cs="Times New Roman" w:hint="eastAsia"/>
          <w:sz w:val="18"/>
          <w:szCs w:val="18"/>
        </w:rPr>
        <w:t>日。本次权益分派方案为：以公司现有总股本</w:t>
      </w:r>
      <w:r w:rsidRPr="00F50B51">
        <w:rPr>
          <w:rFonts w:ascii="Times New Roman" w:hAnsi="Times New Roman" w:cs="Times New Roman"/>
          <w:sz w:val="18"/>
          <w:szCs w:val="18"/>
        </w:rPr>
        <w:t>274,486,573</w:t>
      </w:r>
      <w:r w:rsidRPr="00F50B51">
        <w:rPr>
          <w:rFonts w:cs="Times New Roman" w:hint="eastAsia"/>
          <w:sz w:val="18"/>
          <w:szCs w:val="18"/>
        </w:rPr>
        <w:t>股为基数，向全体股东每</w:t>
      </w:r>
      <w:r w:rsidRPr="00F50B51">
        <w:rPr>
          <w:rFonts w:ascii="Times New Roman" w:hAnsi="Times New Roman" w:cs="Times New Roman"/>
          <w:sz w:val="18"/>
          <w:szCs w:val="18"/>
        </w:rPr>
        <w:t>10</w:t>
      </w:r>
      <w:r w:rsidRPr="00F50B51">
        <w:rPr>
          <w:rFonts w:cs="Times New Roman" w:hint="eastAsia"/>
          <w:sz w:val="18"/>
          <w:szCs w:val="18"/>
        </w:rPr>
        <w:t>股派发现金红利</w:t>
      </w:r>
      <w:r w:rsidRPr="00F50B51">
        <w:rPr>
          <w:rFonts w:ascii="Times New Roman" w:hAnsi="Times New Roman" w:cs="Times New Roman"/>
          <w:sz w:val="18"/>
          <w:szCs w:val="18"/>
        </w:rPr>
        <w:t>0.500213</w:t>
      </w:r>
      <w:r w:rsidRPr="00F50B51">
        <w:rPr>
          <w:rFonts w:cs="Times New Roman" w:hint="eastAsia"/>
          <w:sz w:val="18"/>
          <w:szCs w:val="18"/>
        </w:rPr>
        <w:t>元（含税），不以公积金转增股本，不送红股。根据中国证券监督管理委员会关于可转换公司债券发行的有关规定及《广东翔鹭钨业股份有限公司公开发行可转换公司债券募集说明书》的规定，</w:t>
      </w:r>
      <w:r w:rsidRPr="00F50B51">
        <w:rPr>
          <w:rFonts w:ascii="Times New Roman" w:hAnsi="Times New Roman" w:cs="Times New Roman"/>
          <w:sz w:val="18"/>
          <w:szCs w:val="18"/>
        </w:rPr>
        <w:t>“</w:t>
      </w:r>
      <w:r w:rsidRPr="00F50B51">
        <w:rPr>
          <w:rFonts w:cs="Times New Roman" w:hint="eastAsia"/>
          <w:sz w:val="18"/>
          <w:szCs w:val="18"/>
        </w:rPr>
        <w:t>翔鹭转债</w:t>
      </w:r>
      <w:r w:rsidRPr="00F50B51">
        <w:rPr>
          <w:rFonts w:ascii="Times New Roman" w:hAnsi="Times New Roman" w:cs="Times New Roman"/>
          <w:sz w:val="18"/>
          <w:szCs w:val="18"/>
        </w:rPr>
        <w:t>”</w:t>
      </w:r>
      <w:r w:rsidRPr="00F50B51">
        <w:rPr>
          <w:rFonts w:cs="Times New Roman" w:hint="eastAsia"/>
          <w:sz w:val="18"/>
          <w:szCs w:val="18"/>
        </w:rPr>
        <w:t>的转股价格由</w:t>
      </w:r>
      <w:r w:rsidRPr="00F50B51">
        <w:rPr>
          <w:rFonts w:ascii="Times New Roman" w:hAnsi="Times New Roman" w:cs="Times New Roman"/>
          <w:sz w:val="18"/>
          <w:szCs w:val="18"/>
        </w:rPr>
        <w:t>15.36</w:t>
      </w:r>
      <w:r w:rsidRPr="00F50B51">
        <w:rPr>
          <w:rFonts w:cs="Times New Roman" w:hint="eastAsia"/>
          <w:sz w:val="18"/>
          <w:szCs w:val="18"/>
        </w:rPr>
        <w:t>元</w:t>
      </w:r>
      <w:r w:rsidRPr="00F50B51">
        <w:rPr>
          <w:rFonts w:ascii="Times New Roman" w:hAnsi="Times New Roman" w:cs="Times New Roman"/>
          <w:sz w:val="18"/>
          <w:szCs w:val="18"/>
        </w:rPr>
        <w:t>/</w:t>
      </w:r>
      <w:r w:rsidRPr="00F50B51">
        <w:rPr>
          <w:rFonts w:cs="Times New Roman" w:hint="eastAsia"/>
          <w:sz w:val="18"/>
          <w:szCs w:val="18"/>
        </w:rPr>
        <w:t>股调整为</w:t>
      </w:r>
      <w:r w:rsidRPr="00F50B51">
        <w:rPr>
          <w:rFonts w:ascii="Times New Roman" w:hAnsi="Times New Roman" w:cs="Times New Roman"/>
          <w:sz w:val="18"/>
          <w:szCs w:val="18"/>
        </w:rPr>
        <w:t>15.31</w:t>
      </w:r>
      <w:r w:rsidRPr="00F50B51">
        <w:rPr>
          <w:rFonts w:cs="Times New Roman" w:hint="eastAsia"/>
          <w:sz w:val="18"/>
          <w:szCs w:val="18"/>
        </w:rPr>
        <w:t>元</w:t>
      </w:r>
      <w:r w:rsidRPr="00F50B51">
        <w:rPr>
          <w:rFonts w:ascii="Times New Roman" w:hAnsi="Times New Roman" w:cs="Times New Roman"/>
          <w:sz w:val="18"/>
          <w:szCs w:val="18"/>
        </w:rPr>
        <w:t>/</w:t>
      </w:r>
      <w:r w:rsidRPr="00F50B51">
        <w:rPr>
          <w:rFonts w:cs="Times New Roman" w:hint="eastAsia"/>
          <w:sz w:val="18"/>
          <w:szCs w:val="18"/>
        </w:rPr>
        <w:t>股，自</w:t>
      </w:r>
      <w:r w:rsidRPr="00F50B51">
        <w:rPr>
          <w:rFonts w:ascii="Times New Roman" w:hAnsi="Times New Roman" w:cs="Times New Roman"/>
          <w:sz w:val="18"/>
          <w:szCs w:val="18"/>
        </w:rPr>
        <w:t>2020</w:t>
      </w:r>
      <w:r w:rsidRPr="00F50B51">
        <w:rPr>
          <w:rFonts w:cs="Times New Roman" w:hint="eastAsia"/>
          <w:sz w:val="18"/>
          <w:szCs w:val="18"/>
        </w:rPr>
        <w:t>年</w:t>
      </w:r>
      <w:r w:rsidRPr="00F50B51">
        <w:rPr>
          <w:rFonts w:ascii="Times New Roman" w:hAnsi="Times New Roman" w:cs="Times New Roman"/>
          <w:sz w:val="18"/>
          <w:szCs w:val="18"/>
        </w:rPr>
        <w:t>6</w:t>
      </w:r>
      <w:r w:rsidRPr="00F50B51">
        <w:rPr>
          <w:rFonts w:cs="Times New Roman" w:hint="eastAsia"/>
          <w:sz w:val="18"/>
          <w:szCs w:val="18"/>
        </w:rPr>
        <w:t>月</w:t>
      </w:r>
      <w:r w:rsidRPr="00F50B51">
        <w:rPr>
          <w:rFonts w:ascii="Times New Roman" w:hAnsi="Times New Roman" w:cs="Times New Roman"/>
          <w:sz w:val="18"/>
          <w:szCs w:val="18"/>
        </w:rPr>
        <w:t>19</w:t>
      </w:r>
      <w:r w:rsidRPr="00F50B51">
        <w:rPr>
          <w:rFonts w:cs="Times New Roman" w:hint="eastAsia"/>
          <w:sz w:val="18"/>
          <w:szCs w:val="18"/>
        </w:rPr>
        <w:t>日起生效。</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3</w:t>
      </w:r>
      <w:r w:rsidRPr="00F50B51">
        <w:rPr>
          <w:rFonts w:cs="Times New Roman" w:hint="eastAsia"/>
          <w:sz w:val="18"/>
          <w:szCs w:val="18"/>
        </w:rPr>
        <w:t>、公司于</w:t>
      </w:r>
      <w:r w:rsidRPr="00F50B51">
        <w:rPr>
          <w:rFonts w:ascii="Times New Roman" w:hAnsi="Times New Roman" w:cs="Times New Roman"/>
          <w:sz w:val="18"/>
          <w:szCs w:val="18"/>
        </w:rPr>
        <w:t>2020</w:t>
      </w:r>
      <w:r w:rsidRPr="00F50B51">
        <w:rPr>
          <w:rFonts w:cs="Times New Roman" w:hint="eastAsia"/>
          <w:sz w:val="18"/>
          <w:szCs w:val="18"/>
        </w:rPr>
        <w:t>年</w:t>
      </w:r>
      <w:r w:rsidRPr="00F50B51">
        <w:rPr>
          <w:rFonts w:ascii="Times New Roman" w:hAnsi="Times New Roman" w:cs="Times New Roman"/>
          <w:sz w:val="18"/>
          <w:szCs w:val="18"/>
        </w:rPr>
        <w:t>8</w:t>
      </w:r>
      <w:r w:rsidRPr="00F50B51">
        <w:rPr>
          <w:rFonts w:cs="Times New Roman" w:hint="eastAsia"/>
          <w:sz w:val="18"/>
          <w:szCs w:val="18"/>
        </w:rPr>
        <w:t>月</w:t>
      </w:r>
      <w:r w:rsidRPr="00F50B51">
        <w:rPr>
          <w:rFonts w:ascii="Times New Roman" w:hAnsi="Times New Roman" w:cs="Times New Roman"/>
          <w:sz w:val="18"/>
          <w:szCs w:val="18"/>
        </w:rPr>
        <w:t>22</w:t>
      </w:r>
      <w:r w:rsidRPr="00F50B51">
        <w:rPr>
          <w:rFonts w:cs="Times New Roman" w:hint="eastAsia"/>
          <w:sz w:val="18"/>
          <w:szCs w:val="18"/>
        </w:rPr>
        <w:t>日召开第三届董事会第四次会议和第三届监事会第十八次会议，审议通过了《关于回购注销部分激励对象已获授但尚未解除限售的限制性股票的议案》，鉴于</w:t>
      </w:r>
      <w:r w:rsidRPr="00F50B51">
        <w:rPr>
          <w:rFonts w:ascii="Times New Roman" w:hAnsi="Times New Roman" w:cs="Times New Roman"/>
          <w:sz w:val="18"/>
          <w:szCs w:val="18"/>
        </w:rPr>
        <w:t>6</w:t>
      </w:r>
      <w:r w:rsidRPr="00F50B51">
        <w:rPr>
          <w:rFonts w:cs="Times New Roman" w:hint="eastAsia"/>
          <w:sz w:val="18"/>
          <w:szCs w:val="18"/>
        </w:rPr>
        <w:t>名激励对象因个人原因离</w:t>
      </w:r>
      <w:r w:rsidRPr="00F50B51">
        <w:rPr>
          <w:rFonts w:cs="Times New Roman" w:hint="eastAsia"/>
          <w:sz w:val="18"/>
          <w:szCs w:val="18"/>
        </w:rPr>
        <w:t>职，公司董事会对其已获授但尚未解除限售的</w:t>
      </w:r>
      <w:r w:rsidRPr="00F50B51">
        <w:rPr>
          <w:rFonts w:ascii="Times New Roman" w:hAnsi="Times New Roman" w:cs="Times New Roman"/>
          <w:sz w:val="18"/>
          <w:szCs w:val="18"/>
        </w:rPr>
        <w:t>203,520</w:t>
      </w:r>
      <w:r w:rsidRPr="00F50B51">
        <w:rPr>
          <w:rFonts w:cs="Times New Roman" w:hint="eastAsia"/>
          <w:sz w:val="18"/>
          <w:szCs w:val="18"/>
        </w:rPr>
        <w:t>股限制性股票进行回购注销，同时，根据《</w:t>
      </w:r>
      <w:r w:rsidRPr="00F50B51">
        <w:rPr>
          <w:rFonts w:ascii="Times New Roman" w:hAnsi="Times New Roman" w:cs="Times New Roman"/>
          <w:sz w:val="18"/>
          <w:szCs w:val="18"/>
        </w:rPr>
        <w:t>2018</w:t>
      </w:r>
      <w:r w:rsidRPr="00F50B51">
        <w:rPr>
          <w:rFonts w:cs="Times New Roman" w:hint="eastAsia"/>
          <w:sz w:val="18"/>
          <w:szCs w:val="18"/>
        </w:rPr>
        <w:t>年限制性股票激励计划》，鉴于以</w:t>
      </w:r>
      <w:r w:rsidRPr="00F50B51">
        <w:rPr>
          <w:rFonts w:ascii="Times New Roman" w:hAnsi="Times New Roman" w:cs="Times New Roman"/>
          <w:sz w:val="18"/>
          <w:szCs w:val="18"/>
        </w:rPr>
        <w:t>2017</w:t>
      </w:r>
      <w:r w:rsidRPr="00F50B51">
        <w:rPr>
          <w:rFonts w:cs="Times New Roman" w:hint="eastAsia"/>
          <w:sz w:val="18"/>
          <w:szCs w:val="18"/>
        </w:rPr>
        <w:t>年净利润为基数，公司</w:t>
      </w:r>
      <w:r w:rsidRPr="00F50B51">
        <w:rPr>
          <w:rFonts w:ascii="Times New Roman" w:hAnsi="Times New Roman" w:cs="Times New Roman"/>
          <w:sz w:val="18"/>
          <w:szCs w:val="18"/>
        </w:rPr>
        <w:t>2019</w:t>
      </w:r>
      <w:r w:rsidRPr="00F50B51">
        <w:rPr>
          <w:rFonts w:cs="Times New Roman" w:hint="eastAsia"/>
          <w:sz w:val="18"/>
          <w:szCs w:val="18"/>
        </w:rPr>
        <w:t>年度实现的净利润的增长率低于</w:t>
      </w:r>
      <w:r w:rsidRPr="00F50B51">
        <w:rPr>
          <w:rFonts w:ascii="Times New Roman" w:hAnsi="Times New Roman" w:cs="Times New Roman"/>
          <w:sz w:val="18"/>
          <w:szCs w:val="18"/>
        </w:rPr>
        <w:t>30%</w:t>
      </w:r>
      <w:r w:rsidRPr="00F50B51">
        <w:rPr>
          <w:rFonts w:cs="Times New Roman" w:hint="eastAsia"/>
          <w:sz w:val="18"/>
          <w:szCs w:val="18"/>
        </w:rPr>
        <w:t>，公司业绩考核要求未达到《</w:t>
      </w:r>
      <w:r w:rsidRPr="00F50B51">
        <w:rPr>
          <w:rFonts w:ascii="Times New Roman" w:hAnsi="Times New Roman" w:cs="Times New Roman"/>
          <w:sz w:val="18"/>
          <w:szCs w:val="18"/>
        </w:rPr>
        <w:t>2018</w:t>
      </w:r>
      <w:r w:rsidRPr="00F50B51">
        <w:rPr>
          <w:rFonts w:cs="Times New Roman" w:hint="eastAsia"/>
          <w:sz w:val="18"/>
          <w:szCs w:val="18"/>
        </w:rPr>
        <w:t>年限制性股票激励计划》</w:t>
      </w:r>
      <w:r w:rsidRPr="00F50B51">
        <w:rPr>
          <w:rFonts w:cs="Times New Roman" w:hint="eastAsia"/>
          <w:sz w:val="18"/>
          <w:szCs w:val="18"/>
        </w:rPr>
        <w:lastRenderedPageBreak/>
        <w:t>所规定的首次授予限制性股票第二个解除限售期的解除限售条件，根据《</w:t>
      </w:r>
      <w:r w:rsidRPr="00F50B51">
        <w:rPr>
          <w:rFonts w:ascii="Times New Roman" w:hAnsi="Times New Roman" w:cs="Times New Roman"/>
          <w:sz w:val="18"/>
          <w:szCs w:val="18"/>
        </w:rPr>
        <w:t>2018</w:t>
      </w:r>
      <w:r w:rsidRPr="00F50B51">
        <w:rPr>
          <w:rFonts w:cs="Times New Roman" w:hint="eastAsia"/>
          <w:sz w:val="18"/>
          <w:szCs w:val="18"/>
        </w:rPr>
        <w:t>年限制性股票激励计划》及《上市公司股权激励管理办法》的相关规定，公司对</w:t>
      </w:r>
      <w:r w:rsidRPr="00F50B51">
        <w:rPr>
          <w:rFonts w:ascii="Times New Roman" w:hAnsi="Times New Roman" w:cs="Times New Roman"/>
          <w:sz w:val="18"/>
          <w:szCs w:val="18"/>
        </w:rPr>
        <w:t>91</w:t>
      </w:r>
      <w:r w:rsidRPr="00F50B51">
        <w:rPr>
          <w:rFonts w:cs="Times New Roman" w:hint="eastAsia"/>
          <w:sz w:val="18"/>
          <w:szCs w:val="18"/>
        </w:rPr>
        <w:t>名激励对象已获授但尚未解除限售的第二个解除限售期对应的</w:t>
      </w:r>
      <w:r w:rsidRPr="00F50B51">
        <w:rPr>
          <w:rFonts w:ascii="Times New Roman" w:hAnsi="Times New Roman" w:cs="Times New Roman"/>
          <w:sz w:val="18"/>
          <w:szCs w:val="18"/>
        </w:rPr>
        <w:t>643,440</w:t>
      </w:r>
      <w:r w:rsidRPr="00F50B51">
        <w:rPr>
          <w:rFonts w:cs="Times New Roman" w:hint="eastAsia"/>
          <w:sz w:val="18"/>
          <w:szCs w:val="18"/>
        </w:rPr>
        <w:t>股限制性股票进行回购注销。根据相关规定及限</w:t>
      </w:r>
      <w:r w:rsidRPr="00F50B51">
        <w:rPr>
          <w:rFonts w:cs="Times New Roman" w:hint="eastAsia"/>
          <w:sz w:val="18"/>
          <w:szCs w:val="18"/>
        </w:rPr>
        <w:t>制性股票回购注销情况，公司应对</w:t>
      </w:r>
      <w:r w:rsidRPr="00F50B51">
        <w:rPr>
          <w:rFonts w:ascii="Times New Roman" w:hAnsi="Times New Roman" w:cs="Times New Roman"/>
          <w:sz w:val="18"/>
          <w:szCs w:val="18"/>
        </w:rPr>
        <w:t>“</w:t>
      </w:r>
      <w:r w:rsidRPr="00F50B51">
        <w:rPr>
          <w:rFonts w:cs="Times New Roman" w:hint="eastAsia"/>
          <w:sz w:val="18"/>
          <w:szCs w:val="18"/>
        </w:rPr>
        <w:t>翔鹭转债</w:t>
      </w:r>
      <w:r w:rsidRPr="00F50B51">
        <w:rPr>
          <w:rFonts w:ascii="Times New Roman" w:hAnsi="Times New Roman" w:cs="Times New Roman"/>
          <w:sz w:val="18"/>
          <w:szCs w:val="18"/>
        </w:rPr>
        <w:t>”</w:t>
      </w:r>
      <w:r w:rsidRPr="00F50B51">
        <w:rPr>
          <w:rFonts w:cs="Times New Roman" w:hint="eastAsia"/>
          <w:sz w:val="18"/>
          <w:szCs w:val="18"/>
        </w:rPr>
        <w:t>的转股价格进行调整。经计算，本次转股价格由</w:t>
      </w:r>
      <w:r w:rsidRPr="00F50B51">
        <w:rPr>
          <w:rFonts w:ascii="Times New Roman" w:hAnsi="Times New Roman" w:cs="Times New Roman"/>
          <w:sz w:val="18"/>
          <w:szCs w:val="18"/>
        </w:rPr>
        <w:t>15.31</w:t>
      </w:r>
      <w:r w:rsidRPr="00F50B51">
        <w:rPr>
          <w:rFonts w:cs="Times New Roman" w:hint="eastAsia"/>
          <w:sz w:val="18"/>
          <w:szCs w:val="18"/>
        </w:rPr>
        <w:t>元</w:t>
      </w:r>
      <w:r w:rsidRPr="00F50B51">
        <w:rPr>
          <w:rFonts w:ascii="Times New Roman" w:hAnsi="Times New Roman" w:cs="Times New Roman"/>
          <w:sz w:val="18"/>
          <w:szCs w:val="18"/>
        </w:rPr>
        <w:t>/</w:t>
      </w:r>
      <w:r w:rsidRPr="00F50B51">
        <w:rPr>
          <w:rFonts w:cs="Times New Roman" w:hint="eastAsia"/>
          <w:sz w:val="18"/>
          <w:szCs w:val="18"/>
        </w:rPr>
        <w:t>股调整为</w:t>
      </w:r>
      <w:r w:rsidRPr="00F50B51">
        <w:rPr>
          <w:rFonts w:ascii="Times New Roman" w:hAnsi="Times New Roman" w:cs="Times New Roman"/>
          <w:sz w:val="18"/>
          <w:szCs w:val="18"/>
        </w:rPr>
        <w:t>15.34</w:t>
      </w:r>
      <w:r w:rsidRPr="00F50B51">
        <w:rPr>
          <w:rFonts w:cs="Times New Roman" w:hint="eastAsia"/>
          <w:sz w:val="18"/>
          <w:szCs w:val="18"/>
        </w:rPr>
        <w:t>元</w:t>
      </w:r>
      <w:r w:rsidRPr="00F50B51">
        <w:rPr>
          <w:rFonts w:ascii="Times New Roman" w:hAnsi="Times New Roman" w:cs="Times New Roman"/>
          <w:sz w:val="18"/>
          <w:szCs w:val="18"/>
        </w:rPr>
        <w:t>/</w:t>
      </w:r>
      <w:r w:rsidRPr="00F50B51">
        <w:rPr>
          <w:rFonts w:cs="Times New Roman" w:hint="eastAsia"/>
          <w:sz w:val="18"/>
          <w:szCs w:val="18"/>
        </w:rPr>
        <w:t>股，自</w:t>
      </w:r>
      <w:r w:rsidRPr="00F50B51">
        <w:rPr>
          <w:rFonts w:ascii="Times New Roman" w:hAnsi="Times New Roman" w:cs="Times New Roman"/>
          <w:sz w:val="18"/>
          <w:szCs w:val="18"/>
        </w:rPr>
        <w:t>2020</w:t>
      </w:r>
      <w:r w:rsidRPr="00F50B51">
        <w:rPr>
          <w:rFonts w:cs="Times New Roman" w:hint="eastAsia"/>
          <w:sz w:val="18"/>
          <w:szCs w:val="18"/>
        </w:rPr>
        <w:t>年</w:t>
      </w:r>
      <w:r w:rsidRPr="00F50B51">
        <w:rPr>
          <w:rFonts w:ascii="Times New Roman" w:hAnsi="Times New Roman" w:cs="Times New Roman"/>
          <w:sz w:val="18"/>
          <w:szCs w:val="18"/>
        </w:rPr>
        <w:t>10</w:t>
      </w:r>
      <w:r w:rsidRPr="00F50B51">
        <w:rPr>
          <w:rFonts w:cs="Times New Roman" w:hint="eastAsia"/>
          <w:sz w:val="18"/>
          <w:szCs w:val="18"/>
        </w:rPr>
        <w:t>月</w:t>
      </w:r>
      <w:r w:rsidRPr="00F50B51">
        <w:rPr>
          <w:rFonts w:ascii="Times New Roman" w:hAnsi="Times New Roman" w:cs="Times New Roman"/>
          <w:sz w:val="18"/>
          <w:szCs w:val="18"/>
        </w:rPr>
        <w:t>9</w:t>
      </w:r>
      <w:r w:rsidRPr="00F50B51">
        <w:rPr>
          <w:rFonts w:cs="Times New Roman" w:hint="eastAsia"/>
          <w:sz w:val="18"/>
          <w:szCs w:val="18"/>
        </w:rPr>
        <w:t>日起生效。</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4</w:t>
      </w:r>
      <w:r w:rsidRPr="00F50B51">
        <w:rPr>
          <w:rFonts w:cs="Times New Roman" w:hint="eastAsia"/>
          <w:sz w:val="18"/>
          <w:szCs w:val="18"/>
        </w:rPr>
        <w:t>、</w:t>
      </w:r>
      <w:r w:rsidRPr="00F50B51">
        <w:rPr>
          <w:rFonts w:ascii="Times New Roman" w:hAnsi="Times New Roman" w:cs="Times New Roman"/>
          <w:sz w:val="18"/>
          <w:szCs w:val="18"/>
        </w:rPr>
        <w:t>2021</w:t>
      </w:r>
      <w:r w:rsidRPr="00F50B51">
        <w:rPr>
          <w:rFonts w:cs="Times New Roman" w:hint="eastAsia"/>
          <w:sz w:val="18"/>
          <w:szCs w:val="18"/>
        </w:rPr>
        <w:t>年</w:t>
      </w:r>
      <w:r w:rsidRPr="00F50B51">
        <w:rPr>
          <w:rFonts w:ascii="Times New Roman" w:hAnsi="Times New Roman" w:cs="Times New Roman"/>
          <w:sz w:val="18"/>
          <w:szCs w:val="18"/>
        </w:rPr>
        <w:t>4</w:t>
      </w:r>
      <w:r w:rsidRPr="00F50B51">
        <w:rPr>
          <w:rFonts w:cs="Times New Roman" w:hint="eastAsia"/>
          <w:sz w:val="18"/>
          <w:szCs w:val="18"/>
        </w:rPr>
        <w:t>月</w:t>
      </w:r>
      <w:r w:rsidRPr="00F50B51">
        <w:rPr>
          <w:rFonts w:ascii="Times New Roman" w:hAnsi="Times New Roman" w:cs="Times New Roman"/>
          <w:sz w:val="18"/>
          <w:szCs w:val="18"/>
        </w:rPr>
        <w:t>28</w:t>
      </w:r>
      <w:r w:rsidRPr="00F50B51">
        <w:rPr>
          <w:rFonts w:cs="Times New Roman" w:hint="eastAsia"/>
          <w:sz w:val="18"/>
          <w:szCs w:val="18"/>
        </w:rPr>
        <w:t>日，公司召开第三届董事会</w:t>
      </w:r>
      <w:r w:rsidRPr="00F50B51">
        <w:rPr>
          <w:rFonts w:ascii="Times New Roman" w:hAnsi="Times New Roman" w:cs="Times New Roman"/>
          <w:sz w:val="18"/>
          <w:szCs w:val="18"/>
        </w:rPr>
        <w:t>2021</w:t>
      </w:r>
      <w:r w:rsidRPr="00F50B51">
        <w:rPr>
          <w:rFonts w:cs="Times New Roman" w:hint="eastAsia"/>
          <w:sz w:val="18"/>
          <w:szCs w:val="18"/>
        </w:rPr>
        <w:t>年第二次临时会议和第三届监事会第二十二次会议，审议通过了《关于回购注销部分激励对象已获授但尚未解除限售的限制性股票的议案》，鉴于</w:t>
      </w:r>
      <w:r w:rsidRPr="00F50B51">
        <w:rPr>
          <w:rFonts w:ascii="Times New Roman" w:hAnsi="Times New Roman" w:cs="Times New Roman"/>
          <w:sz w:val="18"/>
          <w:szCs w:val="18"/>
        </w:rPr>
        <w:t>6</w:t>
      </w:r>
      <w:r w:rsidRPr="00F50B51">
        <w:rPr>
          <w:rFonts w:cs="Times New Roman" w:hint="eastAsia"/>
          <w:sz w:val="18"/>
          <w:szCs w:val="18"/>
        </w:rPr>
        <w:t>名激励对象因个人原因离职，公司董事会拟对其已获授但尚未解除限售的</w:t>
      </w:r>
      <w:r w:rsidRPr="00F50B51">
        <w:rPr>
          <w:rFonts w:ascii="Times New Roman" w:hAnsi="Times New Roman" w:cs="Times New Roman"/>
          <w:sz w:val="18"/>
          <w:szCs w:val="18"/>
        </w:rPr>
        <w:t>39,360</w:t>
      </w:r>
      <w:r w:rsidRPr="00F50B51">
        <w:rPr>
          <w:rFonts w:cs="Times New Roman" w:hint="eastAsia"/>
          <w:sz w:val="18"/>
          <w:szCs w:val="18"/>
        </w:rPr>
        <w:t>股限制性股票进行回购注销，同时，根据《</w:t>
      </w:r>
      <w:r w:rsidRPr="00F50B51">
        <w:rPr>
          <w:rFonts w:ascii="Times New Roman" w:hAnsi="Times New Roman" w:cs="Times New Roman"/>
          <w:sz w:val="18"/>
          <w:szCs w:val="18"/>
        </w:rPr>
        <w:t>2018</w:t>
      </w:r>
      <w:r w:rsidRPr="00F50B51">
        <w:rPr>
          <w:rFonts w:cs="Times New Roman" w:hint="eastAsia"/>
          <w:sz w:val="18"/>
          <w:szCs w:val="18"/>
        </w:rPr>
        <w:t>年限制性股票激励计划》，鉴于以</w:t>
      </w:r>
      <w:r w:rsidRPr="00F50B51">
        <w:rPr>
          <w:rFonts w:ascii="Times New Roman" w:hAnsi="Times New Roman" w:cs="Times New Roman"/>
          <w:sz w:val="18"/>
          <w:szCs w:val="18"/>
        </w:rPr>
        <w:t>2017</w:t>
      </w:r>
      <w:r w:rsidRPr="00F50B51">
        <w:rPr>
          <w:rFonts w:cs="Times New Roman" w:hint="eastAsia"/>
          <w:sz w:val="18"/>
          <w:szCs w:val="18"/>
        </w:rPr>
        <w:t>年净利润为基数，公司</w:t>
      </w:r>
      <w:r w:rsidRPr="00F50B51">
        <w:rPr>
          <w:rFonts w:ascii="Times New Roman" w:hAnsi="Times New Roman" w:cs="Times New Roman"/>
          <w:sz w:val="18"/>
          <w:szCs w:val="18"/>
        </w:rPr>
        <w:t>2020</w:t>
      </w:r>
      <w:r w:rsidRPr="00F50B51">
        <w:rPr>
          <w:rFonts w:cs="Times New Roman" w:hint="eastAsia"/>
          <w:sz w:val="18"/>
          <w:szCs w:val="18"/>
        </w:rPr>
        <w:t>年度实现的净利润的增长率低于</w:t>
      </w:r>
      <w:r w:rsidRPr="00F50B51">
        <w:rPr>
          <w:rFonts w:ascii="Times New Roman" w:hAnsi="Times New Roman" w:cs="Times New Roman"/>
          <w:sz w:val="18"/>
          <w:szCs w:val="18"/>
        </w:rPr>
        <w:t>45%</w:t>
      </w:r>
      <w:r w:rsidRPr="00F50B51">
        <w:rPr>
          <w:rFonts w:cs="Times New Roman" w:hint="eastAsia"/>
          <w:sz w:val="18"/>
          <w:szCs w:val="18"/>
        </w:rPr>
        <w:t>，公司业绩考核要求未达到《</w:t>
      </w:r>
      <w:r w:rsidRPr="00F50B51">
        <w:rPr>
          <w:rFonts w:ascii="Times New Roman" w:hAnsi="Times New Roman" w:cs="Times New Roman"/>
          <w:sz w:val="18"/>
          <w:szCs w:val="18"/>
        </w:rPr>
        <w:t>2018</w:t>
      </w:r>
      <w:r w:rsidRPr="00F50B51">
        <w:rPr>
          <w:rFonts w:cs="Times New Roman" w:hint="eastAsia"/>
          <w:sz w:val="18"/>
          <w:szCs w:val="18"/>
        </w:rPr>
        <w:t>年限制性股票激励计划》所规定的首次授予限制性股票第三个解除限售期的解除限售条件，根据《</w:t>
      </w:r>
      <w:r w:rsidRPr="00F50B51">
        <w:rPr>
          <w:rFonts w:ascii="Times New Roman" w:hAnsi="Times New Roman" w:cs="Times New Roman"/>
          <w:sz w:val="18"/>
          <w:szCs w:val="18"/>
        </w:rPr>
        <w:t>2018</w:t>
      </w:r>
      <w:r w:rsidRPr="00F50B51">
        <w:rPr>
          <w:rFonts w:cs="Times New Roman" w:hint="eastAsia"/>
          <w:sz w:val="18"/>
          <w:szCs w:val="18"/>
        </w:rPr>
        <w:t>年限制性股票激励计划》及《上市公司股权激励管理办法》的相关规定，公司拟对</w:t>
      </w:r>
      <w:r w:rsidRPr="00F50B51">
        <w:rPr>
          <w:rFonts w:ascii="Times New Roman" w:hAnsi="Times New Roman" w:cs="Times New Roman"/>
          <w:sz w:val="18"/>
          <w:szCs w:val="18"/>
        </w:rPr>
        <w:t>85</w:t>
      </w:r>
      <w:r w:rsidRPr="00F50B51">
        <w:rPr>
          <w:rFonts w:cs="Times New Roman" w:hint="eastAsia"/>
          <w:sz w:val="18"/>
          <w:szCs w:val="18"/>
        </w:rPr>
        <w:t>名激励对象已获授但尚未解除限售的第三个解除限售期对应的</w:t>
      </w:r>
      <w:r w:rsidRPr="00F50B51">
        <w:rPr>
          <w:rFonts w:ascii="Times New Roman" w:hAnsi="Times New Roman" w:cs="Times New Roman"/>
          <w:sz w:val="18"/>
          <w:szCs w:val="18"/>
        </w:rPr>
        <w:t>604,080</w:t>
      </w:r>
      <w:r w:rsidRPr="00F50B51">
        <w:rPr>
          <w:rFonts w:cs="Times New Roman" w:hint="eastAsia"/>
          <w:sz w:val="18"/>
          <w:szCs w:val="18"/>
        </w:rPr>
        <w:t>股限制性股票进行回购注销，本次回购注销的限制性股票数量合计为</w:t>
      </w:r>
      <w:r w:rsidRPr="00F50B51">
        <w:rPr>
          <w:rFonts w:ascii="Times New Roman" w:hAnsi="Times New Roman" w:cs="Times New Roman"/>
          <w:sz w:val="18"/>
          <w:szCs w:val="18"/>
        </w:rPr>
        <w:t>643,440</w:t>
      </w:r>
      <w:r w:rsidRPr="00F50B51">
        <w:rPr>
          <w:rFonts w:cs="Times New Roman" w:hint="eastAsia"/>
          <w:sz w:val="18"/>
          <w:szCs w:val="18"/>
        </w:rPr>
        <w:t>股。根据相关规定及限制性股票回购注销情况，公司应对</w:t>
      </w:r>
      <w:r w:rsidRPr="00F50B51">
        <w:rPr>
          <w:rFonts w:ascii="Times New Roman" w:hAnsi="Times New Roman" w:cs="Times New Roman"/>
          <w:sz w:val="18"/>
          <w:szCs w:val="18"/>
        </w:rPr>
        <w:t>“</w:t>
      </w:r>
      <w:r w:rsidRPr="00F50B51">
        <w:rPr>
          <w:rFonts w:cs="Times New Roman" w:hint="eastAsia"/>
          <w:sz w:val="18"/>
          <w:szCs w:val="18"/>
        </w:rPr>
        <w:t>翔鹭转债</w:t>
      </w:r>
      <w:r w:rsidRPr="00F50B51">
        <w:rPr>
          <w:rFonts w:ascii="Times New Roman" w:hAnsi="Times New Roman" w:cs="Times New Roman"/>
          <w:sz w:val="18"/>
          <w:szCs w:val="18"/>
        </w:rPr>
        <w:t>”</w:t>
      </w:r>
      <w:r w:rsidRPr="00F50B51">
        <w:rPr>
          <w:rFonts w:cs="Times New Roman" w:hint="eastAsia"/>
          <w:sz w:val="18"/>
          <w:szCs w:val="18"/>
        </w:rPr>
        <w:t>的转股价格进行调整。经计算，本次转股价格由</w:t>
      </w:r>
      <w:r w:rsidRPr="00F50B51">
        <w:rPr>
          <w:rFonts w:ascii="Times New Roman" w:hAnsi="Times New Roman" w:cs="Times New Roman"/>
          <w:sz w:val="18"/>
          <w:szCs w:val="18"/>
        </w:rPr>
        <w:t>15.34</w:t>
      </w:r>
      <w:r w:rsidRPr="00F50B51">
        <w:rPr>
          <w:rFonts w:cs="Times New Roman" w:hint="eastAsia"/>
          <w:sz w:val="18"/>
          <w:szCs w:val="18"/>
        </w:rPr>
        <w:t>元</w:t>
      </w:r>
      <w:r w:rsidRPr="00F50B51">
        <w:rPr>
          <w:rFonts w:ascii="Times New Roman" w:hAnsi="Times New Roman" w:cs="Times New Roman"/>
          <w:sz w:val="18"/>
          <w:szCs w:val="18"/>
        </w:rPr>
        <w:t>/</w:t>
      </w:r>
      <w:r w:rsidRPr="00F50B51">
        <w:rPr>
          <w:rFonts w:cs="Times New Roman" w:hint="eastAsia"/>
          <w:sz w:val="18"/>
          <w:szCs w:val="18"/>
        </w:rPr>
        <w:t>股调整为</w:t>
      </w:r>
      <w:r w:rsidRPr="00F50B51">
        <w:rPr>
          <w:rFonts w:ascii="Times New Roman" w:hAnsi="Times New Roman" w:cs="Times New Roman"/>
          <w:sz w:val="18"/>
          <w:szCs w:val="18"/>
        </w:rPr>
        <w:t>15.36</w:t>
      </w:r>
      <w:r w:rsidRPr="00F50B51">
        <w:rPr>
          <w:rFonts w:cs="Times New Roman" w:hint="eastAsia"/>
          <w:sz w:val="18"/>
          <w:szCs w:val="18"/>
        </w:rPr>
        <w:t>元</w:t>
      </w:r>
      <w:r w:rsidRPr="00F50B51">
        <w:rPr>
          <w:rFonts w:ascii="Times New Roman" w:hAnsi="Times New Roman" w:cs="Times New Roman"/>
          <w:sz w:val="18"/>
          <w:szCs w:val="18"/>
        </w:rPr>
        <w:t>/</w:t>
      </w:r>
      <w:r w:rsidRPr="00F50B51">
        <w:rPr>
          <w:rFonts w:cs="Times New Roman" w:hint="eastAsia"/>
          <w:sz w:val="18"/>
          <w:szCs w:val="18"/>
        </w:rPr>
        <w:t>股，自</w:t>
      </w:r>
      <w:r w:rsidRPr="00F50B51">
        <w:rPr>
          <w:rFonts w:ascii="Times New Roman" w:hAnsi="Times New Roman" w:cs="Times New Roman"/>
          <w:sz w:val="18"/>
          <w:szCs w:val="18"/>
        </w:rPr>
        <w:t>2021</w:t>
      </w:r>
      <w:r w:rsidRPr="00F50B51">
        <w:rPr>
          <w:rFonts w:cs="Times New Roman" w:hint="eastAsia"/>
          <w:sz w:val="18"/>
          <w:szCs w:val="18"/>
        </w:rPr>
        <w:t>年</w:t>
      </w:r>
      <w:r w:rsidRPr="00F50B51">
        <w:rPr>
          <w:rFonts w:ascii="Times New Roman" w:hAnsi="Times New Roman" w:cs="Times New Roman"/>
          <w:sz w:val="18"/>
          <w:szCs w:val="18"/>
        </w:rPr>
        <w:t>7</w:t>
      </w:r>
      <w:r w:rsidRPr="00F50B51">
        <w:rPr>
          <w:rFonts w:cs="Times New Roman" w:hint="eastAsia"/>
          <w:sz w:val="18"/>
          <w:szCs w:val="18"/>
        </w:rPr>
        <w:t>月</w:t>
      </w:r>
      <w:r w:rsidRPr="00F50B51">
        <w:rPr>
          <w:rFonts w:ascii="Times New Roman" w:hAnsi="Times New Roman" w:cs="Times New Roman"/>
          <w:sz w:val="18"/>
          <w:szCs w:val="18"/>
        </w:rPr>
        <w:t>16</w:t>
      </w:r>
      <w:r w:rsidRPr="00F50B51">
        <w:rPr>
          <w:rFonts w:cs="Times New Roman" w:hint="eastAsia"/>
          <w:sz w:val="18"/>
          <w:szCs w:val="18"/>
        </w:rPr>
        <w:t>日起生效。</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ascii="Times New Roman" w:hAnsi="Times New Roman" w:cs="Times New Roman"/>
          <w:sz w:val="18"/>
          <w:szCs w:val="18"/>
        </w:rPr>
        <w:t>5</w:t>
      </w:r>
      <w:r w:rsidRPr="00F50B51">
        <w:rPr>
          <w:rFonts w:cs="Times New Roman" w:hint="eastAsia"/>
          <w:sz w:val="18"/>
          <w:szCs w:val="18"/>
        </w:rPr>
        <w:t>、</w:t>
      </w:r>
      <w:r w:rsidRPr="00F50B51">
        <w:rPr>
          <w:rFonts w:ascii="Times New Roman" w:hAnsi="Times New Roman" w:cs="Times New Roman"/>
          <w:sz w:val="18"/>
          <w:szCs w:val="18"/>
        </w:rPr>
        <w:t>2021</w:t>
      </w:r>
      <w:r w:rsidRPr="00F50B51">
        <w:rPr>
          <w:rFonts w:cs="Times New Roman" w:hint="eastAsia"/>
          <w:sz w:val="18"/>
          <w:szCs w:val="18"/>
        </w:rPr>
        <w:t>年</w:t>
      </w:r>
      <w:r w:rsidRPr="00F50B51">
        <w:rPr>
          <w:rFonts w:ascii="Times New Roman" w:hAnsi="Times New Roman" w:cs="Times New Roman"/>
          <w:sz w:val="18"/>
          <w:szCs w:val="18"/>
        </w:rPr>
        <w:t>11</w:t>
      </w:r>
      <w:r w:rsidRPr="00F50B51">
        <w:rPr>
          <w:rFonts w:cs="Times New Roman" w:hint="eastAsia"/>
          <w:sz w:val="18"/>
          <w:szCs w:val="18"/>
        </w:rPr>
        <w:t>月</w:t>
      </w:r>
      <w:r w:rsidRPr="00F50B51">
        <w:rPr>
          <w:rFonts w:ascii="Times New Roman" w:hAnsi="Times New Roman" w:cs="Times New Roman"/>
          <w:sz w:val="18"/>
          <w:szCs w:val="18"/>
        </w:rPr>
        <w:t>3</w:t>
      </w:r>
      <w:r w:rsidRPr="00F50B51">
        <w:rPr>
          <w:rFonts w:cs="Times New Roman" w:hint="eastAsia"/>
          <w:sz w:val="18"/>
          <w:szCs w:val="18"/>
        </w:rPr>
        <w:t>日，公司召开第四届董事会</w:t>
      </w:r>
      <w:r w:rsidRPr="00F50B51">
        <w:rPr>
          <w:rFonts w:ascii="Times New Roman" w:hAnsi="Times New Roman" w:cs="Times New Roman"/>
          <w:sz w:val="18"/>
          <w:szCs w:val="18"/>
        </w:rPr>
        <w:t>2021</w:t>
      </w:r>
      <w:r w:rsidRPr="00F50B51">
        <w:rPr>
          <w:rFonts w:cs="Times New Roman" w:hint="eastAsia"/>
          <w:sz w:val="18"/>
          <w:szCs w:val="18"/>
        </w:rPr>
        <w:t>年第六次临时会议和第四届监事会第七次会议，审议通过《关于调整公司</w:t>
      </w:r>
      <w:r w:rsidRPr="00F50B51">
        <w:rPr>
          <w:rFonts w:ascii="Times New Roman" w:hAnsi="Times New Roman" w:cs="Times New Roman"/>
          <w:sz w:val="18"/>
          <w:szCs w:val="18"/>
        </w:rPr>
        <w:t>2021</w:t>
      </w:r>
      <w:r w:rsidRPr="00F50B51">
        <w:rPr>
          <w:rFonts w:cs="Times New Roman" w:hint="eastAsia"/>
          <w:sz w:val="18"/>
          <w:szCs w:val="18"/>
        </w:rPr>
        <w:t>年限制性股票激励计划相关事项的议案》、《关于向公司</w:t>
      </w:r>
      <w:r w:rsidRPr="00F50B51">
        <w:rPr>
          <w:rFonts w:ascii="Times New Roman" w:hAnsi="Times New Roman" w:cs="Times New Roman"/>
          <w:sz w:val="18"/>
          <w:szCs w:val="18"/>
        </w:rPr>
        <w:t>2021</w:t>
      </w:r>
      <w:r w:rsidRPr="00F50B51">
        <w:rPr>
          <w:rFonts w:cs="Times New Roman" w:hint="eastAsia"/>
          <w:sz w:val="18"/>
          <w:szCs w:val="18"/>
        </w:rPr>
        <w:t>年限制性股票激励计划激励对象首次授予限制性股票相关事项的议案》等议案，确定以</w:t>
      </w:r>
      <w:r w:rsidRPr="00F50B51">
        <w:rPr>
          <w:rFonts w:ascii="Times New Roman" w:hAnsi="Times New Roman" w:cs="Times New Roman"/>
          <w:sz w:val="18"/>
          <w:szCs w:val="18"/>
        </w:rPr>
        <w:t>2021</w:t>
      </w:r>
      <w:r w:rsidRPr="00F50B51">
        <w:rPr>
          <w:rFonts w:cs="Times New Roman" w:hint="eastAsia"/>
          <w:sz w:val="18"/>
          <w:szCs w:val="18"/>
        </w:rPr>
        <w:t>年</w:t>
      </w:r>
      <w:r w:rsidRPr="00F50B51">
        <w:rPr>
          <w:rFonts w:ascii="Times New Roman" w:hAnsi="Times New Roman" w:cs="Times New Roman"/>
          <w:sz w:val="18"/>
          <w:szCs w:val="18"/>
        </w:rPr>
        <w:t>11</w:t>
      </w:r>
      <w:r w:rsidRPr="00F50B51">
        <w:rPr>
          <w:rFonts w:cs="Times New Roman" w:hint="eastAsia"/>
          <w:sz w:val="18"/>
          <w:szCs w:val="18"/>
        </w:rPr>
        <w:t>月</w:t>
      </w:r>
      <w:r w:rsidRPr="00F50B51">
        <w:rPr>
          <w:rFonts w:ascii="Times New Roman" w:hAnsi="Times New Roman" w:cs="Times New Roman"/>
          <w:sz w:val="18"/>
          <w:szCs w:val="18"/>
        </w:rPr>
        <w:t>3</w:t>
      </w:r>
      <w:r w:rsidRPr="00F50B51">
        <w:rPr>
          <w:rFonts w:cs="Times New Roman" w:hint="eastAsia"/>
          <w:sz w:val="18"/>
          <w:szCs w:val="18"/>
        </w:rPr>
        <w:t>日作为激励计划的授予日，向符合条件的激励对象授予</w:t>
      </w:r>
      <w:r w:rsidRPr="00F50B51">
        <w:rPr>
          <w:rFonts w:ascii="Times New Roman" w:hAnsi="Times New Roman" w:cs="Times New Roman"/>
          <w:sz w:val="18"/>
          <w:szCs w:val="18"/>
        </w:rPr>
        <w:t>467.00</w:t>
      </w:r>
      <w:r w:rsidRPr="00F50B51">
        <w:rPr>
          <w:rFonts w:cs="Times New Roman" w:hint="eastAsia"/>
          <w:sz w:val="18"/>
          <w:szCs w:val="18"/>
        </w:rPr>
        <w:t>万股限制性股票。具体详见公司披露的《关于向激励对象首次授予限制性股票的公告》（公告编号：</w:t>
      </w:r>
      <w:r w:rsidRPr="00F50B51">
        <w:rPr>
          <w:rFonts w:ascii="Times New Roman" w:hAnsi="Times New Roman" w:cs="Times New Roman"/>
          <w:sz w:val="18"/>
          <w:szCs w:val="18"/>
        </w:rPr>
        <w:t>2021-09</w:t>
      </w:r>
      <w:r w:rsidRPr="00F50B51">
        <w:rPr>
          <w:rFonts w:ascii="Times New Roman" w:hAnsi="Times New Roman" w:cs="Times New Roman"/>
          <w:sz w:val="18"/>
          <w:szCs w:val="18"/>
        </w:rPr>
        <w:t>0</w:t>
      </w:r>
      <w:r w:rsidRPr="00F50B51">
        <w:rPr>
          <w:rFonts w:cs="Times New Roman" w:hint="eastAsia"/>
          <w:sz w:val="18"/>
          <w:szCs w:val="18"/>
        </w:rPr>
        <w:t>）。公司已在中国证券登记结算有限责任公司深圳分公司完成了上述</w:t>
      </w:r>
      <w:r w:rsidRPr="00F50B51">
        <w:rPr>
          <w:rFonts w:ascii="Times New Roman" w:hAnsi="Times New Roman" w:cs="Times New Roman"/>
          <w:sz w:val="18"/>
          <w:szCs w:val="18"/>
        </w:rPr>
        <w:t>467.00</w:t>
      </w:r>
      <w:r w:rsidRPr="00F50B51">
        <w:rPr>
          <w:rFonts w:cs="Times New Roman" w:hint="eastAsia"/>
          <w:sz w:val="18"/>
          <w:szCs w:val="18"/>
        </w:rPr>
        <w:t>万股限制性股票的授予登记工作，上市日为</w:t>
      </w:r>
      <w:r w:rsidRPr="00F50B51">
        <w:rPr>
          <w:rFonts w:ascii="Times New Roman" w:hAnsi="Times New Roman" w:cs="Times New Roman"/>
          <w:sz w:val="18"/>
          <w:szCs w:val="18"/>
        </w:rPr>
        <w:t>2021</w:t>
      </w:r>
      <w:r w:rsidRPr="00F50B51">
        <w:rPr>
          <w:rFonts w:cs="Times New Roman" w:hint="eastAsia"/>
          <w:sz w:val="18"/>
          <w:szCs w:val="18"/>
        </w:rPr>
        <w:t>年</w:t>
      </w:r>
      <w:r w:rsidRPr="00F50B51">
        <w:rPr>
          <w:rFonts w:ascii="Times New Roman" w:hAnsi="Times New Roman" w:cs="Times New Roman"/>
          <w:sz w:val="18"/>
          <w:szCs w:val="18"/>
        </w:rPr>
        <w:t>11</w:t>
      </w:r>
      <w:r w:rsidRPr="00F50B51">
        <w:rPr>
          <w:rFonts w:cs="Times New Roman" w:hint="eastAsia"/>
          <w:sz w:val="18"/>
          <w:szCs w:val="18"/>
        </w:rPr>
        <w:t>月</w:t>
      </w:r>
      <w:r w:rsidRPr="00F50B51">
        <w:rPr>
          <w:rFonts w:ascii="Times New Roman" w:hAnsi="Times New Roman" w:cs="Times New Roman"/>
          <w:sz w:val="18"/>
          <w:szCs w:val="18"/>
        </w:rPr>
        <w:t>19</w:t>
      </w:r>
      <w:r w:rsidRPr="00F50B51">
        <w:rPr>
          <w:rFonts w:cs="Times New Roman" w:hint="eastAsia"/>
          <w:sz w:val="18"/>
          <w:szCs w:val="18"/>
        </w:rPr>
        <w:t>日。根据相关规定及授予限制性股票完成情况，公司应对</w:t>
      </w:r>
      <w:r w:rsidRPr="00F50B51">
        <w:rPr>
          <w:rFonts w:ascii="Times New Roman" w:hAnsi="Times New Roman" w:cs="Times New Roman"/>
          <w:sz w:val="18"/>
          <w:szCs w:val="18"/>
        </w:rPr>
        <w:t>“</w:t>
      </w:r>
      <w:r w:rsidRPr="00F50B51">
        <w:rPr>
          <w:rFonts w:cs="Times New Roman" w:hint="eastAsia"/>
          <w:sz w:val="18"/>
          <w:szCs w:val="18"/>
        </w:rPr>
        <w:t>翔鹭转债</w:t>
      </w:r>
      <w:r w:rsidRPr="00F50B51">
        <w:rPr>
          <w:rFonts w:ascii="Times New Roman" w:hAnsi="Times New Roman" w:cs="Times New Roman"/>
          <w:sz w:val="18"/>
          <w:szCs w:val="18"/>
        </w:rPr>
        <w:t>”</w:t>
      </w:r>
      <w:r w:rsidRPr="00F50B51">
        <w:rPr>
          <w:rFonts w:cs="Times New Roman" w:hint="eastAsia"/>
          <w:sz w:val="18"/>
          <w:szCs w:val="18"/>
        </w:rPr>
        <w:t>的转股价格进行调整。经计算，转股价格由</w:t>
      </w:r>
      <w:r w:rsidRPr="00F50B51">
        <w:rPr>
          <w:rFonts w:ascii="Times New Roman" w:hAnsi="Times New Roman" w:cs="Times New Roman"/>
          <w:sz w:val="18"/>
          <w:szCs w:val="18"/>
        </w:rPr>
        <w:t>15.36</w:t>
      </w:r>
      <w:r w:rsidRPr="00F50B51">
        <w:rPr>
          <w:rFonts w:cs="Times New Roman" w:hint="eastAsia"/>
          <w:sz w:val="18"/>
          <w:szCs w:val="18"/>
        </w:rPr>
        <w:t>元</w:t>
      </w:r>
      <w:r w:rsidRPr="00F50B51">
        <w:rPr>
          <w:rFonts w:ascii="Times New Roman" w:hAnsi="Times New Roman" w:cs="Times New Roman"/>
          <w:sz w:val="18"/>
          <w:szCs w:val="18"/>
        </w:rPr>
        <w:t>/</w:t>
      </w:r>
      <w:r w:rsidRPr="00F50B51">
        <w:rPr>
          <w:rFonts w:cs="Times New Roman" w:hint="eastAsia"/>
          <w:sz w:val="18"/>
          <w:szCs w:val="18"/>
        </w:rPr>
        <w:t>股调整为</w:t>
      </w:r>
      <w:r w:rsidRPr="00F50B51">
        <w:rPr>
          <w:rFonts w:ascii="Times New Roman" w:hAnsi="Times New Roman" w:cs="Times New Roman"/>
          <w:sz w:val="18"/>
          <w:szCs w:val="18"/>
        </w:rPr>
        <w:t>15.19</w:t>
      </w:r>
      <w:r w:rsidRPr="00F50B51">
        <w:rPr>
          <w:rFonts w:cs="Times New Roman" w:hint="eastAsia"/>
          <w:sz w:val="18"/>
          <w:szCs w:val="18"/>
        </w:rPr>
        <w:t>元</w:t>
      </w:r>
      <w:r w:rsidRPr="00F50B51">
        <w:rPr>
          <w:rFonts w:ascii="Times New Roman" w:hAnsi="Times New Roman" w:cs="Times New Roman"/>
          <w:sz w:val="18"/>
          <w:szCs w:val="18"/>
        </w:rPr>
        <w:t>/</w:t>
      </w:r>
      <w:r w:rsidRPr="00F50B51">
        <w:rPr>
          <w:rFonts w:cs="Times New Roman" w:hint="eastAsia"/>
          <w:sz w:val="18"/>
          <w:szCs w:val="18"/>
        </w:rPr>
        <w:t>股。具体内容详见公司于</w:t>
      </w:r>
      <w:r w:rsidRPr="00F50B51">
        <w:rPr>
          <w:rFonts w:ascii="Times New Roman" w:hAnsi="Times New Roman" w:cs="Times New Roman"/>
          <w:sz w:val="18"/>
          <w:szCs w:val="18"/>
        </w:rPr>
        <w:t>2021</w:t>
      </w:r>
      <w:r w:rsidRPr="00F50B51">
        <w:rPr>
          <w:rFonts w:cs="Times New Roman" w:hint="eastAsia"/>
          <w:sz w:val="18"/>
          <w:szCs w:val="18"/>
        </w:rPr>
        <w:t>年</w:t>
      </w:r>
      <w:r w:rsidRPr="00F50B51">
        <w:rPr>
          <w:rFonts w:ascii="Times New Roman" w:hAnsi="Times New Roman" w:cs="Times New Roman"/>
          <w:sz w:val="18"/>
          <w:szCs w:val="18"/>
        </w:rPr>
        <w:t>11</w:t>
      </w:r>
      <w:r w:rsidRPr="00F50B51">
        <w:rPr>
          <w:rFonts w:cs="Times New Roman" w:hint="eastAsia"/>
          <w:sz w:val="18"/>
          <w:szCs w:val="18"/>
        </w:rPr>
        <w:t>月</w:t>
      </w:r>
      <w:r w:rsidRPr="00F50B51">
        <w:rPr>
          <w:rFonts w:ascii="Times New Roman" w:hAnsi="Times New Roman" w:cs="Times New Roman"/>
          <w:sz w:val="18"/>
          <w:szCs w:val="18"/>
        </w:rPr>
        <w:t>18</w:t>
      </w:r>
      <w:r w:rsidRPr="00F50B51">
        <w:rPr>
          <w:rFonts w:cs="Times New Roman" w:hint="eastAsia"/>
          <w:sz w:val="18"/>
          <w:szCs w:val="18"/>
        </w:rPr>
        <w:t>日披露的《广东翔鹭钨业股份有限公司关于调整</w:t>
      </w:r>
      <w:r w:rsidRPr="00F50B51">
        <w:rPr>
          <w:rFonts w:ascii="Times New Roman" w:hAnsi="Times New Roman" w:cs="Times New Roman"/>
          <w:sz w:val="18"/>
          <w:szCs w:val="18"/>
        </w:rPr>
        <w:t>“</w:t>
      </w:r>
      <w:r w:rsidRPr="00F50B51">
        <w:rPr>
          <w:rFonts w:cs="Times New Roman" w:hint="eastAsia"/>
          <w:sz w:val="18"/>
          <w:szCs w:val="18"/>
        </w:rPr>
        <w:t>翔鹭转债</w:t>
      </w:r>
      <w:r w:rsidRPr="00F50B51">
        <w:rPr>
          <w:rFonts w:ascii="Times New Roman" w:hAnsi="Times New Roman" w:cs="Times New Roman"/>
          <w:sz w:val="18"/>
          <w:szCs w:val="18"/>
        </w:rPr>
        <w:t>”</w:t>
      </w:r>
      <w:r w:rsidRPr="00F50B51">
        <w:rPr>
          <w:rFonts w:cs="Times New Roman" w:hint="eastAsia"/>
          <w:sz w:val="18"/>
          <w:szCs w:val="18"/>
        </w:rPr>
        <w:t>转股价格的公告》（公告编号：</w:t>
      </w:r>
      <w:r w:rsidRPr="00F50B51">
        <w:rPr>
          <w:rFonts w:ascii="Times New Roman" w:hAnsi="Times New Roman" w:cs="Times New Roman"/>
          <w:sz w:val="18"/>
          <w:szCs w:val="18"/>
        </w:rPr>
        <w:t>2021-092</w:t>
      </w:r>
      <w:r w:rsidRPr="00F50B51">
        <w:rPr>
          <w:rFonts w:cs="Times New Roman" w:hint="eastAsia"/>
          <w:sz w:val="18"/>
          <w:szCs w:val="18"/>
        </w:rPr>
        <w:t>）。</w:t>
      </w:r>
    </w:p>
    <w:p w:rsidR="0058782B" w:rsidRPr="00F50B51" w:rsidRDefault="00F80EE7">
      <w:pPr>
        <w:pStyle w:val="a7"/>
        <w:spacing w:before="0" w:beforeAutospacing="0" w:after="0" w:afterAutospacing="0"/>
        <w:jc w:val="both"/>
        <w:rPr>
          <w:rFonts w:ascii="Times New Roman" w:hAnsi="Times New Roman" w:cs="Times New Roman"/>
          <w:sz w:val="18"/>
          <w:szCs w:val="18"/>
        </w:rPr>
      </w:pPr>
      <w:r w:rsidRPr="00F50B51">
        <w:rPr>
          <w:rFonts w:cs="Times New Roman" w:hint="eastAsia"/>
          <w:sz w:val="18"/>
          <w:szCs w:val="18"/>
        </w:rPr>
        <w:t>6</w:t>
      </w:r>
      <w:r w:rsidRPr="00F50B51">
        <w:rPr>
          <w:rFonts w:cs="Times New Roman" w:hint="eastAsia"/>
          <w:sz w:val="18"/>
          <w:szCs w:val="18"/>
        </w:rPr>
        <w:t>、</w:t>
      </w:r>
      <w:r w:rsidRPr="00F50B51">
        <w:rPr>
          <w:rFonts w:cs="Times New Roman" w:hint="eastAsia"/>
          <w:sz w:val="18"/>
          <w:szCs w:val="18"/>
        </w:rPr>
        <w:t xml:space="preserve"> </w:t>
      </w:r>
      <w:r w:rsidRPr="00F50B51">
        <w:rPr>
          <w:rFonts w:ascii="Times New Roman" w:hAnsi="Times New Roman" w:cs="Times New Roman"/>
          <w:sz w:val="18"/>
          <w:szCs w:val="18"/>
        </w:rPr>
        <w:t xml:space="preserve">2022 </w:t>
      </w:r>
      <w:r w:rsidRPr="00F50B51">
        <w:rPr>
          <w:rFonts w:cs="Times New Roman" w:hint="eastAsia"/>
          <w:sz w:val="18"/>
          <w:szCs w:val="18"/>
        </w:rPr>
        <w:t>年</w:t>
      </w:r>
      <w:r w:rsidRPr="00F50B51">
        <w:rPr>
          <w:rFonts w:ascii="Times New Roman" w:hAnsi="Times New Roman" w:cs="Times New Roman"/>
          <w:sz w:val="18"/>
          <w:szCs w:val="18"/>
        </w:rPr>
        <w:t xml:space="preserve"> 4 </w:t>
      </w:r>
      <w:r w:rsidRPr="00F50B51">
        <w:rPr>
          <w:rFonts w:cs="Times New Roman" w:hint="eastAsia"/>
          <w:sz w:val="18"/>
          <w:szCs w:val="18"/>
        </w:rPr>
        <w:t>月</w:t>
      </w:r>
      <w:r w:rsidRPr="00F50B51">
        <w:rPr>
          <w:rFonts w:ascii="Times New Roman" w:hAnsi="Times New Roman" w:cs="Times New Roman"/>
          <w:sz w:val="18"/>
          <w:szCs w:val="18"/>
        </w:rPr>
        <w:t>29</w:t>
      </w:r>
      <w:r w:rsidRPr="00F50B51">
        <w:rPr>
          <w:rFonts w:cs="Times New Roman" w:hint="eastAsia"/>
          <w:sz w:val="18"/>
          <w:szCs w:val="18"/>
        </w:rPr>
        <w:t>日、</w:t>
      </w:r>
      <w:r w:rsidRPr="00F50B51">
        <w:rPr>
          <w:rFonts w:ascii="Times New Roman" w:hAnsi="Times New Roman" w:cs="Times New Roman"/>
          <w:sz w:val="18"/>
          <w:szCs w:val="18"/>
        </w:rPr>
        <w:t xml:space="preserve">2022 </w:t>
      </w:r>
      <w:r w:rsidRPr="00F50B51">
        <w:rPr>
          <w:rFonts w:cs="Times New Roman" w:hint="eastAsia"/>
          <w:sz w:val="18"/>
          <w:szCs w:val="18"/>
        </w:rPr>
        <w:t>年</w:t>
      </w:r>
      <w:r w:rsidRPr="00F50B51">
        <w:rPr>
          <w:rFonts w:ascii="Times New Roman" w:hAnsi="Times New Roman" w:cs="Times New Roman"/>
          <w:sz w:val="18"/>
          <w:szCs w:val="18"/>
        </w:rPr>
        <w:t xml:space="preserve"> 5 </w:t>
      </w:r>
      <w:r w:rsidRPr="00F50B51">
        <w:rPr>
          <w:rFonts w:cs="Times New Roman" w:hint="eastAsia"/>
          <w:sz w:val="18"/>
          <w:szCs w:val="18"/>
        </w:rPr>
        <w:t>月</w:t>
      </w:r>
      <w:r w:rsidRPr="00F50B51">
        <w:rPr>
          <w:rFonts w:ascii="Times New Roman" w:hAnsi="Times New Roman" w:cs="Times New Roman"/>
          <w:sz w:val="18"/>
          <w:szCs w:val="18"/>
        </w:rPr>
        <w:t xml:space="preserve"> 20 </w:t>
      </w:r>
      <w:r w:rsidRPr="00F50B51">
        <w:rPr>
          <w:rFonts w:cs="Times New Roman" w:hint="eastAsia"/>
          <w:sz w:val="18"/>
          <w:szCs w:val="18"/>
        </w:rPr>
        <w:t>日，公司先后召开第四届董事会</w:t>
      </w:r>
      <w:r w:rsidRPr="00F50B51">
        <w:rPr>
          <w:rFonts w:ascii="Times New Roman" w:hAnsi="Times New Roman" w:cs="Times New Roman"/>
          <w:sz w:val="18"/>
          <w:szCs w:val="18"/>
        </w:rPr>
        <w:t>2022</w:t>
      </w:r>
      <w:r w:rsidRPr="00F50B51">
        <w:rPr>
          <w:rFonts w:cs="Times New Roman" w:hint="eastAsia"/>
          <w:sz w:val="18"/>
          <w:szCs w:val="18"/>
        </w:rPr>
        <w:t>年第一次临时会议和</w:t>
      </w:r>
      <w:r w:rsidRPr="00F50B51">
        <w:rPr>
          <w:rFonts w:ascii="Times New Roman" w:hAnsi="Times New Roman" w:cs="Times New Roman"/>
          <w:sz w:val="18"/>
          <w:szCs w:val="18"/>
        </w:rPr>
        <w:t xml:space="preserve"> 2021 </w:t>
      </w:r>
      <w:r w:rsidRPr="00F50B51">
        <w:rPr>
          <w:rFonts w:cs="Times New Roman" w:hint="eastAsia"/>
          <w:sz w:val="18"/>
          <w:szCs w:val="18"/>
        </w:rPr>
        <w:t>年年度股东大会，审议通过了《关于</w:t>
      </w:r>
      <w:r w:rsidRPr="00F50B51">
        <w:rPr>
          <w:rFonts w:ascii="Times New Roman" w:hAnsi="Times New Roman" w:cs="Times New Roman"/>
          <w:sz w:val="18"/>
          <w:szCs w:val="18"/>
        </w:rPr>
        <w:t xml:space="preserve"> 2021 </w:t>
      </w:r>
      <w:r w:rsidRPr="00F50B51">
        <w:rPr>
          <w:rFonts w:cs="Times New Roman" w:hint="eastAsia"/>
          <w:sz w:val="18"/>
          <w:szCs w:val="18"/>
        </w:rPr>
        <w:t>年度利润分配预案的议案》。此次权益分派方案为：以公司现有总股本</w:t>
      </w:r>
      <w:r w:rsidRPr="00F50B51">
        <w:rPr>
          <w:rFonts w:ascii="Times New Roman" w:hAnsi="Times New Roman" w:cs="Times New Roman"/>
          <w:sz w:val="18"/>
          <w:szCs w:val="18"/>
        </w:rPr>
        <w:t>277,672,044</w:t>
      </w:r>
      <w:r w:rsidRPr="00F50B51">
        <w:rPr>
          <w:rFonts w:cs="Times New Roman" w:hint="eastAsia"/>
          <w:sz w:val="18"/>
          <w:szCs w:val="18"/>
        </w:rPr>
        <w:t>股为基数，向全体股东每</w:t>
      </w:r>
      <w:r w:rsidRPr="00F50B51">
        <w:rPr>
          <w:rFonts w:ascii="Times New Roman" w:hAnsi="Times New Roman" w:cs="Times New Roman"/>
          <w:sz w:val="18"/>
          <w:szCs w:val="18"/>
        </w:rPr>
        <w:t>10</w:t>
      </w:r>
      <w:r w:rsidRPr="00F50B51">
        <w:rPr>
          <w:rFonts w:cs="Times New Roman" w:hint="eastAsia"/>
          <w:sz w:val="18"/>
          <w:szCs w:val="18"/>
        </w:rPr>
        <w:t>股派发现金红利</w:t>
      </w:r>
      <w:r w:rsidRPr="00F50B51">
        <w:rPr>
          <w:rFonts w:ascii="Times New Roman" w:hAnsi="Times New Roman" w:cs="Times New Roman"/>
          <w:sz w:val="18"/>
          <w:szCs w:val="18"/>
        </w:rPr>
        <w:t>1</w:t>
      </w:r>
      <w:r w:rsidRPr="00F50B51">
        <w:rPr>
          <w:rFonts w:cs="Times New Roman" w:hint="eastAsia"/>
          <w:sz w:val="18"/>
          <w:szCs w:val="18"/>
        </w:rPr>
        <w:t>元（含税），不以公积金转增股本，不送红股。根据中国证券监督管理委员会关于可转换公司债券发行的有关规定及《募集说明书》的规定，</w:t>
      </w:r>
      <w:r w:rsidRPr="00F50B51">
        <w:rPr>
          <w:rFonts w:ascii="Times New Roman" w:hAnsi="Times New Roman" w:cs="Times New Roman"/>
          <w:sz w:val="18"/>
          <w:szCs w:val="18"/>
        </w:rPr>
        <w:t>“</w:t>
      </w:r>
      <w:r w:rsidRPr="00F50B51">
        <w:rPr>
          <w:rFonts w:cs="Times New Roman" w:hint="eastAsia"/>
          <w:sz w:val="18"/>
          <w:szCs w:val="18"/>
        </w:rPr>
        <w:t>翔鹭转债</w:t>
      </w:r>
      <w:r w:rsidRPr="00F50B51">
        <w:rPr>
          <w:rFonts w:ascii="Times New Roman" w:hAnsi="Times New Roman" w:cs="Times New Roman"/>
          <w:sz w:val="18"/>
          <w:szCs w:val="18"/>
        </w:rPr>
        <w:t>”</w:t>
      </w:r>
      <w:r w:rsidRPr="00F50B51">
        <w:rPr>
          <w:rFonts w:cs="Times New Roman" w:hint="eastAsia"/>
          <w:sz w:val="18"/>
          <w:szCs w:val="18"/>
        </w:rPr>
        <w:t>的转股价格调整为</w:t>
      </w:r>
      <w:r w:rsidRPr="00F50B51">
        <w:rPr>
          <w:rFonts w:ascii="Times New Roman" w:hAnsi="Times New Roman" w:cs="Times New Roman"/>
          <w:sz w:val="18"/>
          <w:szCs w:val="18"/>
        </w:rPr>
        <w:t>15.09</w:t>
      </w:r>
      <w:r w:rsidRPr="00F50B51">
        <w:rPr>
          <w:rFonts w:cs="Times New Roman" w:hint="eastAsia"/>
          <w:sz w:val="18"/>
          <w:szCs w:val="18"/>
        </w:rPr>
        <w:t>元</w:t>
      </w:r>
      <w:r w:rsidRPr="00F50B51">
        <w:rPr>
          <w:rFonts w:ascii="Times New Roman" w:hAnsi="Times New Roman" w:cs="Times New Roman"/>
          <w:sz w:val="18"/>
          <w:szCs w:val="18"/>
        </w:rPr>
        <w:t>/</w:t>
      </w:r>
      <w:r w:rsidRPr="00F50B51">
        <w:rPr>
          <w:rFonts w:cs="Times New Roman" w:hint="eastAsia"/>
          <w:sz w:val="18"/>
          <w:szCs w:val="18"/>
        </w:rPr>
        <w:t>股。具体内容详见公司</w:t>
      </w:r>
      <w:r w:rsidRPr="00F50B51">
        <w:rPr>
          <w:rFonts w:ascii="Times New Roman" w:hAnsi="Times New Roman" w:cs="Times New Roman"/>
          <w:sz w:val="18"/>
          <w:szCs w:val="18"/>
        </w:rPr>
        <w:t>2022</w:t>
      </w:r>
      <w:r w:rsidRPr="00F50B51">
        <w:rPr>
          <w:rFonts w:cs="Times New Roman" w:hint="eastAsia"/>
          <w:sz w:val="18"/>
          <w:szCs w:val="18"/>
        </w:rPr>
        <w:t>年</w:t>
      </w:r>
      <w:r w:rsidRPr="00F50B51">
        <w:rPr>
          <w:rFonts w:ascii="Times New Roman" w:hAnsi="Times New Roman" w:cs="Times New Roman"/>
          <w:sz w:val="18"/>
          <w:szCs w:val="18"/>
        </w:rPr>
        <w:t>6</w:t>
      </w:r>
      <w:r w:rsidRPr="00F50B51">
        <w:rPr>
          <w:rFonts w:cs="Times New Roman" w:hint="eastAsia"/>
          <w:sz w:val="18"/>
          <w:szCs w:val="18"/>
        </w:rPr>
        <w:t>月</w:t>
      </w:r>
      <w:r w:rsidRPr="00F50B51">
        <w:rPr>
          <w:rFonts w:ascii="Times New Roman" w:hAnsi="Times New Roman" w:cs="Times New Roman"/>
          <w:sz w:val="18"/>
          <w:szCs w:val="18"/>
        </w:rPr>
        <w:t>2</w:t>
      </w:r>
      <w:r w:rsidRPr="00F50B51">
        <w:rPr>
          <w:rFonts w:cs="Times New Roman" w:hint="eastAsia"/>
          <w:sz w:val="18"/>
          <w:szCs w:val="18"/>
        </w:rPr>
        <w:t>日于巨潮资讯网（</w:t>
      </w:r>
      <w:r w:rsidRPr="00F50B51">
        <w:rPr>
          <w:rFonts w:ascii="Times New Roman" w:hAnsi="Times New Roman" w:cs="Times New Roman"/>
          <w:sz w:val="18"/>
          <w:szCs w:val="18"/>
        </w:rPr>
        <w:t>http://www.cninfo.com.cn</w:t>
      </w:r>
      <w:r w:rsidRPr="00F50B51">
        <w:rPr>
          <w:rFonts w:cs="Times New Roman" w:hint="eastAsia"/>
          <w:sz w:val="18"/>
          <w:szCs w:val="18"/>
        </w:rPr>
        <w:t>）披露的《广东翔鹭钨业股份有限公司关于</w:t>
      </w:r>
      <w:r w:rsidRPr="00F50B51">
        <w:rPr>
          <w:rFonts w:ascii="Times New Roman" w:hAnsi="Times New Roman" w:cs="Times New Roman"/>
          <w:sz w:val="18"/>
          <w:szCs w:val="18"/>
        </w:rPr>
        <w:t>“</w:t>
      </w:r>
      <w:r w:rsidRPr="00F50B51">
        <w:rPr>
          <w:rFonts w:cs="Times New Roman" w:hint="eastAsia"/>
          <w:sz w:val="18"/>
          <w:szCs w:val="18"/>
        </w:rPr>
        <w:t>翔鹭转</w:t>
      </w:r>
      <w:r w:rsidRPr="00F50B51">
        <w:rPr>
          <w:rFonts w:cs="Times New Roman" w:hint="eastAsia"/>
          <w:sz w:val="18"/>
          <w:szCs w:val="18"/>
        </w:rPr>
        <w:t>债</w:t>
      </w:r>
      <w:r w:rsidRPr="00F50B51">
        <w:rPr>
          <w:rFonts w:ascii="Times New Roman" w:hAnsi="Times New Roman" w:cs="Times New Roman"/>
          <w:sz w:val="18"/>
          <w:szCs w:val="18"/>
        </w:rPr>
        <w:t>”</w:t>
      </w:r>
      <w:r w:rsidRPr="00F50B51">
        <w:rPr>
          <w:rFonts w:cs="Times New Roman" w:hint="eastAsia"/>
          <w:sz w:val="18"/>
          <w:szCs w:val="18"/>
        </w:rPr>
        <w:t>转股价格调整的公告》（公告编号：</w:t>
      </w:r>
      <w:r w:rsidRPr="00F50B51">
        <w:rPr>
          <w:rFonts w:ascii="Times New Roman" w:hAnsi="Times New Roman" w:cs="Times New Roman"/>
          <w:sz w:val="18"/>
          <w:szCs w:val="18"/>
        </w:rPr>
        <w:t>2022-028</w:t>
      </w:r>
      <w:r w:rsidRPr="00F50B51">
        <w:rPr>
          <w:rFonts w:cs="Times New Roman" w:hint="eastAsia"/>
          <w:sz w:val="18"/>
          <w:szCs w:val="18"/>
        </w:rPr>
        <w:t>）。</w:t>
      </w:r>
      <w:r w:rsidRPr="00F50B51">
        <w:rPr>
          <w:rFonts w:cs="Times New Roman" w:hint="eastAsia"/>
          <w:sz w:val="18"/>
          <w:szCs w:val="18"/>
        </w:rPr>
        <w:t> </w:t>
      </w:r>
    </w:p>
    <w:p w:rsidR="0058782B" w:rsidRPr="00F50B51" w:rsidRDefault="00F80EE7">
      <w:pPr>
        <w:pStyle w:val="3"/>
        <w:spacing w:line="280" w:lineRule="exact"/>
        <w:jc w:val="left"/>
        <w:rPr>
          <w:rFonts w:ascii="宋体" w:hAnsi="宋体" w:cs="宋体"/>
          <w:b/>
          <w:bCs/>
        </w:rPr>
      </w:pPr>
      <w:bookmarkStart w:id="98" w:name="_Toc988986"/>
      <w:r w:rsidRPr="00F50B51">
        <w:rPr>
          <w:rFonts w:ascii="宋体" w:hAnsi="宋体" w:cs="宋体"/>
          <w:b/>
          <w:bCs/>
        </w:rPr>
        <w:t>2</w:t>
      </w:r>
      <w:r w:rsidRPr="00F50B51">
        <w:rPr>
          <w:rFonts w:ascii="宋体" w:hAnsi="宋体" w:cs="宋体"/>
          <w:b/>
          <w:bCs/>
        </w:rPr>
        <w:t>、累计转股情况</w:t>
      </w:r>
      <w:bookmarkEnd w:id="98"/>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转债简称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转股起止日期</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发行总量（张）</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发行总金额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累计转股金额（元）</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累计转股数</w:t>
            </w:r>
          </w:p>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转股数量占转股开始日前公司已发行股份总额的比例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尚未转股金额</w:t>
            </w:r>
            <w:r w:rsidRPr="00F50B51">
              <w:rPr>
                <w:rFonts w:ascii="宋体" w:eastAsia="宋体" w:hAnsi="宋体" w:cs="宋体"/>
                <w:sz w:val="18"/>
                <w:szCs w:val="18"/>
              </w:rPr>
              <w:t>(</w:t>
            </w:r>
            <w:r w:rsidRPr="00F50B51">
              <w:rPr>
                <w:rFonts w:ascii="宋体" w:eastAsia="宋体" w:hAnsi="宋体" w:cs="宋体"/>
                <w:sz w:val="18"/>
                <w:szCs w:val="18"/>
              </w:rPr>
              <w:t>元</w:t>
            </w:r>
            <w:r w:rsidRPr="00F50B51">
              <w:rPr>
                <w:rFonts w:ascii="宋体" w:eastAsia="宋体" w:hAnsi="宋体" w:cs="宋体"/>
                <w:sz w:val="18"/>
                <w:szCs w:val="18"/>
              </w:rPr>
              <w:t>)</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未转股金额占发行总金额的比例</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翔鹭转债</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02</w:t>
            </w:r>
            <w:r w:rsidRPr="00F50B51">
              <w:rPr>
                <w:rFonts w:ascii="宋体" w:eastAsia="宋体" w:hAnsi="宋体" w:cs="宋体"/>
                <w:sz w:val="18"/>
                <w:szCs w:val="18"/>
              </w:rPr>
              <w:t>月</w:t>
            </w:r>
            <w:r w:rsidRPr="00F50B51">
              <w:rPr>
                <w:rFonts w:ascii="宋体" w:eastAsia="宋体" w:hAnsi="宋体" w:cs="宋体"/>
                <w:sz w:val="18"/>
                <w:szCs w:val="18"/>
              </w:rPr>
              <w:t>26</w:t>
            </w:r>
            <w:r w:rsidRPr="00F50B51">
              <w:rPr>
                <w:rFonts w:ascii="宋体" w:eastAsia="宋体" w:hAnsi="宋体" w:cs="宋体"/>
                <w:sz w:val="18"/>
                <w:szCs w:val="18"/>
              </w:rPr>
              <w:t>日</w:t>
            </w:r>
            <w:r w:rsidRPr="00F50B51">
              <w:rPr>
                <w:rFonts w:ascii="宋体" w:eastAsia="宋体" w:hAnsi="宋体" w:cs="宋体"/>
                <w:sz w:val="18"/>
                <w:szCs w:val="18"/>
              </w:rPr>
              <w:t>-2025</w:t>
            </w:r>
            <w:r w:rsidRPr="00F50B51">
              <w:rPr>
                <w:rFonts w:ascii="宋体" w:eastAsia="宋体" w:hAnsi="宋体" w:cs="宋体"/>
                <w:sz w:val="18"/>
                <w:szCs w:val="18"/>
              </w:rPr>
              <w:t>年</w:t>
            </w:r>
            <w:r w:rsidRPr="00F50B51">
              <w:rPr>
                <w:rFonts w:ascii="宋体" w:eastAsia="宋体" w:hAnsi="宋体" w:cs="宋体"/>
                <w:sz w:val="18"/>
                <w:szCs w:val="18"/>
              </w:rPr>
              <w:t>8</w:t>
            </w:r>
            <w:r w:rsidRPr="00F50B51">
              <w:rPr>
                <w:rFonts w:ascii="宋体" w:eastAsia="宋体" w:hAnsi="宋体" w:cs="宋体"/>
                <w:sz w:val="18"/>
                <w:szCs w:val="18"/>
              </w:rPr>
              <w:t>月</w:t>
            </w:r>
            <w:r w:rsidRPr="00F50B51">
              <w:rPr>
                <w:rFonts w:ascii="宋体" w:eastAsia="宋体" w:hAnsi="宋体" w:cs="宋体"/>
                <w:sz w:val="18"/>
                <w:szCs w:val="18"/>
              </w:rPr>
              <w:t>19</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3,019,223</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301,922,300.00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132,800.00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8,642</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301,789,500.00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99.96%</w:t>
            </w:r>
          </w:p>
        </w:tc>
      </w:tr>
    </w:tbl>
    <w:p w:rsidR="0058782B" w:rsidRPr="00F50B51" w:rsidRDefault="00F80EE7">
      <w:pPr>
        <w:pStyle w:val="3"/>
        <w:spacing w:line="280" w:lineRule="exact"/>
        <w:jc w:val="left"/>
        <w:rPr>
          <w:rFonts w:ascii="宋体" w:hAnsi="宋体" w:cs="宋体"/>
          <w:b/>
          <w:bCs/>
        </w:rPr>
      </w:pPr>
      <w:bookmarkStart w:id="99" w:name="_Toc988987"/>
      <w:r w:rsidRPr="00F50B51">
        <w:rPr>
          <w:rFonts w:ascii="宋体" w:hAnsi="宋体" w:cs="宋体"/>
          <w:b/>
          <w:bCs/>
        </w:rPr>
        <w:t>3</w:t>
      </w:r>
      <w:r w:rsidRPr="00F50B51">
        <w:rPr>
          <w:rFonts w:ascii="宋体" w:hAnsi="宋体" w:cs="宋体"/>
          <w:b/>
          <w:bCs/>
        </w:rPr>
        <w:t>、前十名可转债持有人情况</w:t>
      </w:r>
      <w:bookmarkEnd w:id="9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单位：股</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序号</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可转债持有人名称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可转债持有人性质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报告期末持有可转债数量（张）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报告期末持有可转债金额（元）</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报告期末持有可转债占比</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lastRenderedPageBreak/>
              <w:t>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兴业证券股份</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国有法人</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82,301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8,230,100.00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陈晓红</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境内自然人</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7,700,000.00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2.55%</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3</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国寿养老红义</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固定收益型养</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老金产品－中</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国工商银行股</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份有限公司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6,000,000.00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1.99%</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4</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上海浦东发展</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银行股份有限</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公司－易方达</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裕祥回报债券</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型证券投资基</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金</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55,845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5,584,500.00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1.85%</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中融国际信托</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有限公司－中</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融－墨砺</w:t>
            </w:r>
            <w:r w:rsidRPr="00F50B51">
              <w:rPr>
                <w:rFonts w:ascii="宋体" w:eastAsia="宋体" w:hAnsi="宋体" w:cs="宋体"/>
                <w:sz w:val="18"/>
                <w:szCs w:val="18"/>
              </w:rPr>
              <w:t>29</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号证券投资集</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合资金信托计</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划</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55,412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5,541,200.00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1.84%</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中国建设银行</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股份有限公司</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－华商稳定增</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利债券型证券</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投资基金</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54,199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5,419,900.00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1.80%</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深圳市林园投</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资管理有限责</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任公司－林园</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投资</w:t>
            </w:r>
            <w:r w:rsidRPr="00F50B51">
              <w:rPr>
                <w:rFonts w:ascii="宋体" w:eastAsia="宋体" w:hAnsi="宋体" w:cs="宋体"/>
                <w:sz w:val="18"/>
                <w:szCs w:val="18"/>
              </w:rPr>
              <w:t>172</w:t>
            </w:r>
            <w:r w:rsidRPr="00F50B51">
              <w:rPr>
                <w:rFonts w:ascii="宋体" w:eastAsia="宋体" w:hAnsi="宋体" w:cs="宋体"/>
                <w:sz w:val="18"/>
                <w:szCs w:val="18"/>
              </w:rPr>
              <w:t>号</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私募证券投资</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基金</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51,040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5,104,000.00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1.69%</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中融国际信托</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有限公司－中</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融－墨砺</w:t>
            </w:r>
            <w:r w:rsidRPr="00F50B51">
              <w:rPr>
                <w:rFonts w:ascii="宋体" w:eastAsia="宋体" w:hAnsi="宋体" w:cs="宋体"/>
                <w:sz w:val="18"/>
                <w:szCs w:val="18"/>
              </w:rPr>
              <w:t>15</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号证券投资集</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合资金信托计</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划</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33,352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3,335,200.00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1.11%</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高维平</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境内自然人</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32,690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3,269,000.00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1.08%</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10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中信银行股份</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有限公司－信</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澳信用债债券</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型证券投资基</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金</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3,000,000.00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0.99%</w:t>
            </w:r>
          </w:p>
        </w:tc>
      </w:tr>
    </w:tbl>
    <w:p w:rsidR="0058782B" w:rsidRPr="00F50B51" w:rsidRDefault="00F80EE7">
      <w:pPr>
        <w:pStyle w:val="3"/>
        <w:spacing w:line="280" w:lineRule="exact"/>
        <w:jc w:val="left"/>
        <w:rPr>
          <w:rFonts w:ascii="宋体" w:hAnsi="宋体" w:cs="宋体"/>
          <w:b/>
          <w:bCs/>
        </w:rPr>
      </w:pPr>
      <w:bookmarkStart w:id="100" w:name="_Toc988988"/>
      <w:r w:rsidRPr="00F50B51">
        <w:rPr>
          <w:rFonts w:ascii="宋体" w:hAnsi="宋体" w:cs="宋体"/>
          <w:b/>
          <w:bCs/>
        </w:rPr>
        <w:t>4</w:t>
      </w:r>
      <w:r w:rsidRPr="00F50B51">
        <w:rPr>
          <w:rFonts w:ascii="宋体" w:hAnsi="宋体" w:cs="宋体"/>
          <w:b/>
          <w:bCs/>
        </w:rPr>
        <w:t>、担保人盈利能力、资产状况和信用状况发生重大变化的情况</w:t>
      </w:r>
      <w:bookmarkEnd w:id="100"/>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3"/>
        <w:spacing w:line="280" w:lineRule="exact"/>
        <w:jc w:val="left"/>
        <w:rPr>
          <w:rFonts w:ascii="宋体" w:hAnsi="宋体" w:cs="宋体"/>
          <w:b/>
          <w:bCs/>
        </w:rPr>
      </w:pPr>
      <w:bookmarkStart w:id="101" w:name="_Toc988989"/>
      <w:r w:rsidRPr="00F50B51">
        <w:rPr>
          <w:rFonts w:ascii="宋体" w:hAnsi="宋体" w:cs="宋体"/>
          <w:b/>
          <w:bCs/>
        </w:rPr>
        <w:t>5</w:t>
      </w:r>
      <w:r w:rsidRPr="00F50B51">
        <w:rPr>
          <w:rFonts w:ascii="宋体" w:hAnsi="宋体" w:cs="宋体"/>
          <w:b/>
          <w:bCs/>
        </w:rPr>
        <w:t>、报告期末公司的负债情况、资信变化情况以及在未来年度还债的现金安排</w:t>
      </w:r>
      <w:bookmarkEnd w:id="101"/>
    </w:p>
    <w:p w:rsidR="0058782B" w:rsidRPr="00F50B51" w:rsidRDefault="00F80EE7">
      <w:pPr>
        <w:pStyle w:val="a7"/>
        <w:spacing w:before="40" w:beforeAutospacing="0" w:after="40" w:afterAutospacing="0"/>
        <w:jc w:val="both"/>
        <w:rPr>
          <w:sz w:val="18"/>
          <w:szCs w:val="18"/>
        </w:rPr>
      </w:pPr>
      <w:r w:rsidRPr="00F50B51">
        <w:rPr>
          <w:rFonts w:ascii="Times New Roman" w:hAnsi="Times New Roman" w:cs="Times New Roman"/>
          <w:sz w:val="18"/>
          <w:szCs w:val="18"/>
        </w:rPr>
        <w:t>       2022</w:t>
      </w:r>
      <w:r w:rsidRPr="00F50B51">
        <w:rPr>
          <w:rFonts w:hint="eastAsia"/>
          <w:sz w:val="18"/>
          <w:szCs w:val="18"/>
        </w:rPr>
        <w:t>年</w:t>
      </w:r>
      <w:r w:rsidRPr="00F50B51">
        <w:rPr>
          <w:rFonts w:ascii="Times New Roman" w:hAnsi="Times New Roman" w:cs="Times New Roman"/>
          <w:sz w:val="18"/>
          <w:szCs w:val="18"/>
        </w:rPr>
        <w:t>6</w:t>
      </w:r>
      <w:r w:rsidRPr="00F50B51">
        <w:rPr>
          <w:rFonts w:hint="eastAsia"/>
          <w:sz w:val="18"/>
          <w:szCs w:val="18"/>
        </w:rPr>
        <w:t>月</w:t>
      </w:r>
      <w:r w:rsidRPr="00F50B51">
        <w:rPr>
          <w:rFonts w:hint="eastAsia"/>
          <w:sz w:val="18"/>
          <w:szCs w:val="18"/>
        </w:rPr>
        <w:t>29</w:t>
      </w:r>
      <w:r w:rsidRPr="00F50B51">
        <w:rPr>
          <w:rFonts w:hint="eastAsia"/>
          <w:sz w:val="18"/>
          <w:szCs w:val="18"/>
        </w:rPr>
        <w:t>日，中证鹏元资信评估股份有限公司出具了《</w:t>
      </w:r>
      <w:r w:rsidRPr="00F50B51">
        <w:rPr>
          <w:rFonts w:ascii="Times New Roman" w:hAnsi="Times New Roman" w:cs="Times New Roman"/>
          <w:sz w:val="18"/>
          <w:szCs w:val="18"/>
        </w:rPr>
        <w:t>2019</w:t>
      </w:r>
      <w:r w:rsidRPr="00F50B51">
        <w:rPr>
          <w:rFonts w:hint="eastAsia"/>
          <w:sz w:val="18"/>
          <w:szCs w:val="18"/>
        </w:rPr>
        <w:t>年广东翔鹭钨业股份有限公司可转换公司债券</w:t>
      </w:r>
      <w:r w:rsidRPr="00F50B51">
        <w:rPr>
          <w:rFonts w:ascii="Times New Roman" w:hAnsi="Times New Roman" w:cs="Times New Roman"/>
          <w:sz w:val="18"/>
          <w:szCs w:val="18"/>
        </w:rPr>
        <w:t>2022</w:t>
      </w:r>
      <w:r w:rsidRPr="00F50B51">
        <w:rPr>
          <w:rFonts w:hint="eastAsia"/>
          <w:sz w:val="18"/>
          <w:szCs w:val="18"/>
        </w:rPr>
        <w:t>年跟踪信用评级报告》（中鹏信评【</w:t>
      </w:r>
      <w:r w:rsidRPr="00F50B51">
        <w:rPr>
          <w:rFonts w:ascii="Times New Roman" w:hAnsi="Times New Roman" w:cs="Times New Roman"/>
          <w:sz w:val="18"/>
          <w:szCs w:val="18"/>
        </w:rPr>
        <w:t>2022</w:t>
      </w:r>
      <w:r w:rsidRPr="00F50B51">
        <w:rPr>
          <w:rFonts w:hint="eastAsia"/>
          <w:sz w:val="18"/>
          <w:szCs w:val="18"/>
        </w:rPr>
        <w:t>】跟踪第【</w:t>
      </w:r>
      <w:r w:rsidRPr="00F50B51">
        <w:rPr>
          <w:rFonts w:hint="eastAsia"/>
          <w:sz w:val="18"/>
          <w:szCs w:val="18"/>
        </w:rPr>
        <w:t>659</w:t>
      </w:r>
      <w:r w:rsidRPr="00F50B51">
        <w:rPr>
          <w:rFonts w:hint="eastAsia"/>
          <w:sz w:val="18"/>
          <w:szCs w:val="18"/>
        </w:rPr>
        <w:t>】号</w:t>
      </w:r>
      <w:r w:rsidRPr="00F50B51">
        <w:rPr>
          <w:rFonts w:ascii="Times New Roman" w:hAnsi="Times New Roman" w:cs="Times New Roman"/>
          <w:sz w:val="18"/>
          <w:szCs w:val="18"/>
        </w:rPr>
        <w:t>01</w:t>
      </w:r>
      <w:r w:rsidRPr="00F50B51">
        <w:rPr>
          <w:rFonts w:hint="eastAsia"/>
          <w:sz w:val="18"/>
          <w:szCs w:val="18"/>
        </w:rPr>
        <w:t>），报告维持评级展望为稳定，“翔鹭转债”的信用等级为</w:t>
      </w:r>
      <w:r w:rsidRPr="00F50B51">
        <w:rPr>
          <w:rFonts w:hint="eastAsia"/>
          <w:sz w:val="18"/>
          <w:szCs w:val="18"/>
        </w:rPr>
        <w:t xml:space="preserve"> A+</w:t>
      </w:r>
      <w:r w:rsidRPr="00F50B51">
        <w:rPr>
          <w:rFonts w:hint="eastAsia"/>
          <w:sz w:val="18"/>
          <w:szCs w:val="18"/>
        </w:rPr>
        <w:t>。钨行业下游应用广泛，公司碳化钨粉产品竞争力较强，预计业务持续性较好。公司经营情况稳定，资信情况良好，公司将合理安排资金，保证未来支付可转换公司债券利息、偿付债券。</w:t>
      </w:r>
    </w:p>
    <w:p w:rsidR="0058782B" w:rsidRPr="00F50B51" w:rsidRDefault="00F80EE7">
      <w:pPr>
        <w:pStyle w:val="2"/>
        <w:spacing w:before="300" w:after="300" w:line="320" w:lineRule="exact"/>
        <w:rPr>
          <w:rFonts w:ascii="宋体" w:eastAsia="宋体" w:hAnsi="宋体" w:cs="宋体"/>
          <w:b/>
          <w:bCs/>
          <w:sz w:val="24"/>
          <w:szCs w:val="24"/>
        </w:rPr>
      </w:pPr>
      <w:bookmarkStart w:id="102" w:name="_Toc988990"/>
      <w:r w:rsidRPr="00F50B51">
        <w:rPr>
          <w:rFonts w:ascii="宋体" w:eastAsia="宋体" w:hAnsi="宋体" w:cs="宋体"/>
          <w:b/>
          <w:bCs/>
          <w:sz w:val="24"/>
          <w:szCs w:val="24"/>
        </w:rPr>
        <w:lastRenderedPageBreak/>
        <w:t>五、报告期内合并报表范围亏损超过上年末净资产</w:t>
      </w:r>
      <w:r w:rsidRPr="00F50B51">
        <w:rPr>
          <w:rFonts w:ascii="宋体" w:eastAsia="宋体" w:hAnsi="宋体" w:cs="宋体"/>
          <w:b/>
          <w:bCs/>
          <w:sz w:val="24"/>
          <w:szCs w:val="24"/>
        </w:rPr>
        <w:t>10%</w:t>
      </w:r>
      <w:bookmarkEnd w:id="102"/>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2"/>
        <w:spacing w:before="300" w:after="300" w:line="320" w:lineRule="exact"/>
        <w:rPr>
          <w:rFonts w:ascii="宋体" w:eastAsia="宋体" w:hAnsi="宋体" w:cs="宋体"/>
          <w:b/>
          <w:bCs/>
          <w:sz w:val="24"/>
          <w:szCs w:val="24"/>
        </w:rPr>
      </w:pPr>
      <w:bookmarkStart w:id="103" w:name="_Toc988991"/>
      <w:r w:rsidRPr="00F50B51">
        <w:rPr>
          <w:rFonts w:ascii="宋体" w:eastAsia="宋体" w:hAnsi="宋体" w:cs="宋体"/>
          <w:b/>
          <w:bCs/>
          <w:sz w:val="24"/>
          <w:szCs w:val="24"/>
        </w:rPr>
        <w:t>六、截至报告期末公司近两年的主要会计数据和财务指标</w:t>
      </w:r>
      <w:bookmarkEnd w:id="10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单位：万元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本报告期末</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上年末</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本报告期末比上年末增减</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流动比率</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1.57</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-5.73%</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资产负债率</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58.42%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58.26%</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0.16%</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速动比率</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0.73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0.73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上年同期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本报告期比上年同期增减</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扣除非经常性损益后净利润</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1,668.22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2,211.52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-24.57%</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EBITDA</w:t>
            </w:r>
            <w:r w:rsidRPr="00F50B51">
              <w:rPr>
                <w:rFonts w:ascii="宋体" w:eastAsia="宋体" w:hAnsi="宋体" w:cs="宋体"/>
                <w:sz w:val="18"/>
                <w:szCs w:val="18"/>
              </w:rPr>
              <w:t>全部债务比</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5.64%</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6.81%</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-1.17%</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利息保障倍数</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1.97</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-34.01%</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现金利息保障倍数</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-44.55%</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EBITDA</w:t>
            </w:r>
            <w:r w:rsidRPr="00F50B51">
              <w:rPr>
                <w:rFonts w:ascii="宋体" w:eastAsia="宋体" w:hAnsi="宋体" w:cs="宋体"/>
                <w:sz w:val="18"/>
                <w:szCs w:val="18"/>
              </w:rPr>
              <w:t>利息保障倍数</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2.87</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-20.06%</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贷款偿还率</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利息偿付率</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r>
    </w:tbl>
    <w:p w:rsidR="0058782B" w:rsidRPr="00F50B51" w:rsidRDefault="00F80EE7">
      <w:r w:rsidRPr="00F50B51">
        <w:br w:type="page"/>
      </w:r>
    </w:p>
    <w:p w:rsidR="0058782B" w:rsidRPr="00F50B51" w:rsidRDefault="00F80EE7">
      <w:pPr>
        <w:pStyle w:val="headingh1"/>
        <w:spacing w:before="340" w:after="330" w:line="773" w:lineRule="exact"/>
        <w:jc w:val="center"/>
        <w:rPr>
          <w:rFonts w:ascii="宋体" w:eastAsia="宋体" w:hAnsi="宋体" w:cs="宋体"/>
          <w:b/>
          <w:bCs/>
          <w:sz w:val="32"/>
          <w:szCs w:val="32"/>
        </w:rPr>
      </w:pPr>
      <w:bookmarkStart w:id="104" w:name="_Toc988992"/>
      <w:r w:rsidRPr="00F50B51">
        <w:rPr>
          <w:rFonts w:ascii="宋体" w:eastAsia="宋体" w:hAnsi="宋体" w:cs="宋体"/>
          <w:b/>
          <w:bCs/>
          <w:sz w:val="32"/>
          <w:szCs w:val="32"/>
        </w:rPr>
        <w:lastRenderedPageBreak/>
        <w:t>第十节</w:t>
      </w:r>
      <w:r w:rsidRPr="00F50B51">
        <w:rPr>
          <w:rFonts w:ascii="宋体" w:eastAsia="宋体" w:hAnsi="宋体" w:cs="宋体"/>
          <w:b/>
          <w:bCs/>
          <w:sz w:val="32"/>
          <w:szCs w:val="32"/>
        </w:rPr>
        <w:t xml:space="preserve"> </w:t>
      </w:r>
      <w:r w:rsidRPr="00F50B51">
        <w:rPr>
          <w:rFonts w:ascii="宋体" w:eastAsia="宋体" w:hAnsi="宋体" w:cs="宋体"/>
          <w:b/>
          <w:bCs/>
          <w:sz w:val="32"/>
          <w:szCs w:val="32"/>
        </w:rPr>
        <w:t>财务报告</w:t>
      </w:r>
      <w:bookmarkEnd w:id="104"/>
    </w:p>
    <w:p w:rsidR="0058782B" w:rsidRPr="00F50B51" w:rsidRDefault="00F80EE7">
      <w:pPr>
        <w:pStyle w:val="2"/>
        <w:spacing w:before="300" w:after="300" w:line="320" w:lineRule="exact"/>
        <w:rPr>
          <w:rFonts w:ascii="宋体" w:eastAsia="宋体" w:hAnsi="宋体" w:cs="宋体"/>
          <w:b/>
          <w:bCs/>
          <w:sz w:val="24"/>
          <w:szCs w:val="24"/>
        </w:rPr>
      </w:pPr>
      <w:bookmarkStart w:id="105" w:name="_Toc988993"/>
      <w:r w:rsidRPr="00F50B51">
        <w:rPr>
          <w:rFonts w:ascii="宋体" w:eastAsia="宋体" w:hAnsi="宋体" w:cs="宋体"/>
          <w:b/>
          <w:bCs/>
          <w:sz w:val="24"/>
          <w:szCs w:val="24"/>
        </w:rPr>
        <w:t>一、审计报告</w:t>
      </w:r>
      <w:bookmarkEnd w:id="105"/>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半年度报告是否经过审计</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是</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否</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公司半年度财务报告未经审计。</w:t>
      </w:r>
    </w:p>
    <w:p w:rsidR="0058782B" w:rsidRPr="00F50B51" w:rsidRDefault="00F80EE7">
      <w:pPr>
        <w:pStyle w:val="2"/>
        <w:spacing w:before="300" w:after="300" w:line="320" w:lineRule="exact"/>
        <w:rPr>
          <w:rFonts w:ascii="宋体" w:eastAsia="宋体" w:hAnsi="宋体" w:cs="宋体"/>
          <w:b/>
          <w:bCs/>
          <w:sz w:val="24"/>
          <w:szCs w:val="24"/>
        </w:rPr>
      </w:pPr>
      <w:bookmarkStart w:id="106" w:name="_Toc988994"/>
      <w:r w:rsidRPr="00F50B51">
        <w:rPr>
          <w:rFonts w:ascii="宋体" w:eastAsia="宋体" w:hAnsi="宋体" w:cs="宋体"/>
          <w:b/>
          <w:bCs/>
          <w:sz w:val="24"/>
          <w:szCs w:val="24"/>
        </w:rPr>
        <w:t>二、财务报表</w:t>
      </w:r>
      <w:bookmarkEnd w:id="106"/>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财务附注中报表的单位为：元</w:t>
      </w:r>
    </w:p>
    <w:p w:rsidR="0058782B" w:rsidRPr="00F50B51" w:rsidRDefault="00F80EE7">
      <w:pPr>
        <w:pStyle w:val="3"/>
        <w:spacing w:line="280" w:lineRule="exact"/>
        <w:jc w:val="left"/>
        <w:rPr>
          <w:rFonts w:ascii="宋体" w:hAnsi="宋体" w:cs="宋体"/>
          <w:b/>
          <w:bCs/>
        </w:rPr>
      </w:pPr>
      <w:bookmarkStart w:id="107" w:name="_Toc988995"/>
      <w:r w:rsidRPr="00F50B51">
        <w:rPr>
          <w:rFonts w:ascii="宋体" w:hAnsi="宋体" w:cs="宋体"/>
          <w:b/>
          <w:bCs/>
        </w:rPr>
        <w:t>1</w:t>
      </w:r>
      <w:r w:rsidRPr="00F50B51">
        <w:rPr>
          <w:rFonts w:ascii="宋体" w:hAnsi="宋体" w:cs="宋体"/>
          <w:b/>
          <w:bCs/>
        </w:rPr>
        <w:t>、合并资产负债表</w:t>
      </w:r>
      <w:bookmarkEnd w:id="107"/>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编制单位：广东翔鹭钨业股份有限公司</w:t>
      </w:r>
    </w:p>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1</w:t>
            </w:r>
            <w:r w:rsidRPr="00F50B51">
              <w:rPr>
                <w:rFonts w:ascii="宋体" w:eastAsia="宋体" w:hAnsi="宋体" w:cs="宋体"/>
                <w:sz w:val="18"/>
                <w:szCs w:val="18"/>
              </w:rPr>
              <w:t>月</w:t>
            </w:r>
            <w:r w:rsidRPr="00F50B51">
              <w:rPr>
                <w:rFonts w:ascii="宋体" w:eastAsia="宋体" w:hAnsi="宋体" w:cs="宋体"/>
                <w:sz w:val="18"/>
                <w:szCs w:val="18"/>
              </w:rPr>
              <w:t>1</w:t>
            </w:r>
            <w:r w:rsidRPr="00F50B51">
              <w:rPr>
                <w:rFonts w:ascii="宋体" w:eastAsia="宋体" w:hAnsi="宋体" w:cs="宋体"/>
                <w:sz w:val="18"/>
                <w:szCs w:val="18"/>
              </w:rPr>
              <w:t>日</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264,267,622.24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243,712,701.57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结算备付金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拆出资金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101,660.00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504,264.00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衍生金融资产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应收账款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317,413,110.37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193,849,372.89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82,963,531.39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123,947,738.42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预付款项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33,620,372.88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15,845,716.48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应收保费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应收分保账款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应收分保合同准备金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8,007,943.64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8,006,143.46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其中：应收利息</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500" w:firstLine="900"/>
              <w:rPr>
                <w:rFonts w:ascii="宋体" w:eastAsia="宋体" w:hAnsi="宋体" w:cs="宋体"/>
                <w:sz w:val="18"/>
                <w:szCs w:val="18"/>
              </w:rPr>
            </w:pPr>
            <w:r w:rsidRPr="00F50B51">
              <w:rPr>
                <w:rFonts w:ascii="宋体" w:eastAsia="宋体" w:hAnsi="宋体" w:cs="宋体"/>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买入返售金融资产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733,152,733.59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767,704,893.98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合同资产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持有待售资产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一年内到期的非流动资产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5,869,905.42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76,965,042.79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流动资产合计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1,445,396,879.53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1,430,535,873.59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lastRenderedPageBreak/>
              <w:t>发放贷款和垫款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债权投资</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其他债权投资</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长期应收款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长期股权投资</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其他权益工具投资</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13,763,490.85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13,763,490.85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投资性房地产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728,284,334.43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721,433,903.07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34,021,419.38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55,410,143.45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生产性生物资产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油气资产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使用权资产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171,625.52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686,502.13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114,718,679.34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115,999,999.51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开发支出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46,901,079.20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46,901,079.20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长期待摊费用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16,013,275.65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18,183,803.03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递延所得税资产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11,733,199.85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10,000,579.19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8,752,847.09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12,371,197.82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非流动资产合计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974,359,951.31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994,750,698.25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资产总计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2,419,756,830.84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2,425,286,571.84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短期借款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456,623,086.39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386,292,836.39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向中央银行借款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拆入资金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衍生金融负债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应付票据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330,915,455.34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378,917,235.98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应付账款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50,978,913.83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67,544,322.25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预收款项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合同负债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1,522,639.38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6,302,744.57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卖出回购金融资产款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吸收存款及同业存放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代理买卖证券款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代理承销证券款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2,316,599.76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3,186,357.55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应交税费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4,148,078.51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1,932,493.93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25,572,209.36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26,021,174.83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其中：应付利息</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500" w:firstLine="900"/>
              <w:rPr>
                <w:rFonts w:ascii="宋体" w:eastAsia="宋体" w:hAnsi="宋体" w:cs="宋体"/>
                <w:sz w:val="18"/>
                <w:szCs w:val="18"/>
              </w:rPr>
            </w:pPr>
            <w:r w:rsidRPr="00F50B51">
              <w:rPr>
                <w:rFonts w:ascii="宋体" w:eastAsia="宋体" w:hAnsi="宋体" w:cs="宋体"/>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应付手续费及佣金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应付分保账款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lastRenderedPageBreak/>
              <w:t>持有待售负债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一年内到期的非流动负债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97,971,625.52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40,486,502.13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3,301,626.71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2,814,219.72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流动负债合计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973,350,234.80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913,497,887.35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保险合同准备金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长期借款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159,000,000.00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227,400,000.00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应付债券</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273,371,124.85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265,001,933.79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500" w:firstLine="900"/>
              <w:rPr>
                <w:rFonts w:ascii="宋体" w:eastAsia="宋体" w:hAnsi="宋体" w:cs="宋体"/>
                <w:sz w:val="18"/>
                <w:szCs w:val="18"/>
              </w:rPr>
            </w:pPr>
            <w:r w:rsidRPr="00F50B51">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长期应付职工薪酬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预计负债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递延收益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5,104,735.01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6,705,037.22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120,134.59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357,426.11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非流动负债合计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440,195,994.45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499,464,397.12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1,413,546,229.25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1,412,962,284.47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所有者权益：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股本</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277,672,242.00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277,671,652.00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其他权益工具</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65,680,151.68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65,682,092.34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500" w:firstLine="900"/>
              <w:rPr>
                <w:rFonts w:ascii="宋体" w:eastAsia="宋体" w:hAnsi="宋体" w:cs="宋体"/>
                <w:sz w:val="18"/>
                <w:szCs w:val="18"/>
              </w:rPr>
            </w:pPr>
            <w:r w:rsidRPr="00F50B51">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资本公积</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227,418,551.51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222,338,577.93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减：库存股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专项储备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25,391,325.18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31,918,879.60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盈余公积</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一般风险准备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382,655,408.97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387,320,163.25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归属于母公司所有者权益合计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1,006,210,601.59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1,012,324,287.37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少数股东权益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1,006,210,601.59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1,012,324,287.37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负债和所有者权益总计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2,419,756,830.84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2,425,286,571.84</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法定代表人：陈启丰</w:t>
      </w:r>
      <w:r w:rsidRPr="00F50B51">
        <w:rPr>
          <w:rFonts w:ascii="宋体" w:eastAsia="宋体" w:hAnsi="宋体" w:cs="宋体"/>
          <w:sz w:val="18"/>
          <w:szCs w:val="18"/>
        </w:rPr>
        <w:t xml:space="preserve">    </w:t>
      </w:r>
      <w:r w:rsidRPr="00F50B51">
        <w:rPr>
          <w:rFonts w:ascii="宋体" w:eastAsia="宋体" w:hAnsi="宋体" w:cs="宋体"/>
          <w:sz w:val="18"/>
          <w:szCs w:val="18"/>
        </w:rPr>
        <w:t>主管会计工作负责人：郑丽芳</w:t>
      </w:r>
      <w:r w:rsidRPr="00F50B51">
        <w:rPr>
          <w:rFonts w:ascii="宋体" w:eastAsia="宋体" w:hAnsi="宋体" w:cs="宋体"/>
          <w:sz w:val="18"/>
          <w:szCs w:val="18"/>
        </w:rPr>
        <w:t xml:space="preserve">      </w:t>
      </w:r>
      <w:r w:rsidRPr="00F50B51">
        <w:rPr>
          <w:rFonts w:ascii="宋体" w:eastAsia="宋体" w:hAnsi="宋体" w:cs="宋体"/>
          <w:sz w:val="18"/>
          <w:szCs w:val="18"/>
        </w:rPr>
        <w:t>会计机构负责人：陈东洁</w:t>
      </w:r>
    </w:p>
    <w:p w:rsidR="0058782B" w:rsidRPr="00F50B51" w:rsidRDefault="00F80EE7">
      <w:pPr>
        <w:pStyle w:val="3"/>
        <w:spacing w:line="320" w:lineRule="exact"/>
        <w:jc w:val="left"/>
        <w:rPr>
          <w:rFonts w:ascii="宋体" w:hAnsi="宋体" w:cs="宋体"/>
          <w:b/>
          <w:bCs/>
          <w:sz w:val="24"/>
          <w:szCs w:val="24"/>
        </w:rPr>
      </w:pPr>
      <w:bookmarkStart w:id="108" w:name="_Toc988996"/>
      <w:r w:rsidRPr="00F50B51">
        <w:rPr>
          <w:rFonts w:ascii="宋体" w:hAnsi="宋体" w:cs="宋体"/>
          <w:b/>
          <w:bCs/>
          <w:sz w:val="24"/>
          <w:szCs w:val="24"/>
        </w:rPr>
        <w:t>2</w:t>
      </w:r>
      <w:r w:rsidRPr="00F50B51">
        <w:rPr>
          <w:rFonts w:ascii="宋体" w:hAnsi="宋体" w:cs="宋体"/>
          <w:b/>
          <w:bCs/>
          <w:sz w:val="24"/>
          <w:szCs w:val="24"/>
        </w:rPr>
        <w:t>、母公司资产负债表</w:t>
      </w:r>
      <w:bookmarkEnd w:id="108"/>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1</w:t>
            </w:r>
            <w:r w:rsidRPr="00F50B51">
              <w:rPr>
                <w:rFonts w:ascii="宋体" w:eastAsia="宋体" w:hAnsi="宋体" w:cs="宋体"/>
                <w:sz w:val="18"/>
                <w:szCs w:val="18"/>
              </w:rPr>
              <w:t>月</w:t>
            </w:r>
            <w:r w:rsidRPr="00F50B51">
              <w:rPr>
                <w:rFonts w:ascii="宋体" w:eastAsia="宋体" w:hAnsi="宋体" w:cs="宋体"/>
                <w:sz w:val="18"/>
                <w:szCs w:val="18"/>
              </w:rPr>
              <w:t>1</w:t>
            </w:r>
            <w:r w:rsidRPr="00F50B51">
              <w:rPr>
                <w:rFonts w:ascii="宋体" w:eastAsia="宋体" w:hAnsi="宋体" w:cs="宋体"/>
                <w:sz w:val="18"/>
                <w:szCs w:val="18"/>
              </w:rPr>
              <w:t>日</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209,567,309.05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197,094,517.89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101,660.00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504,264.00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衍生金融资产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lastRenderedPageBreak/>
              <w:t>应收账款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304,411,965.69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193,257,173.50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78,680,046.32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120,944,357.91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预付款项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32,388,496.12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15,009,477.41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62,874,650.99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71,781,082.27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其中：应收利息</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500" w:firstLine="900"/>
              <w:rPr>
                <w:rFonts w:ascii="宋体" w:eastAsia="宋体" w:hAnsi="宋体" w:cs="宋体"/>
                <w:sz w:val="18"/>
                <w:szCs w:val="18"/>
              </w:rPr>
            </w:pPr>
            <w:r w:rsidRPr="00F50B51">
              <w:rPr>
                <w:rFonts w:ascii="宋体" w:eastAsia="宋体" w:hAnsi="宋体" w:cs="宋体"/>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494,675,881.84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555,505,640.30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合同资产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持有待售资产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一年内到期的非流动资产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5,135,706.40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42,470,509.52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流动资产合计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1,187,835,716.41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1,196,567,022.80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债权投资</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其他债权投资</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长期应收款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长期股权投资</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498,845,022.98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493,500,000.00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其他权益工具投资</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13,763,490.85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13,763,490.85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投资性房地产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332,861,321.18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317,777,598.53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19,198,014.94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34,210,416.56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生产性生物资产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油气资产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使用权资产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35,670,845.79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36,337,124.59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开发支出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长期待摊费用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10,643,535.82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12,180,416.88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递延所得税资产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1,587,684.05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680,297.64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42,100,297.02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45,541,007.62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非流动资产合计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954,670,212.63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953,990,352.67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资产总计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2,142,505,929.04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2,150,557,375.47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短期借款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416,623,086.39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326,213,086.39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衍生金融负债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应付票据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241,543,370.00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273,053,000.00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应付账款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77,306,868.55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171,334,402.50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预收款项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合同负债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414,622.95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6,137,571.65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862,310.00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lastRenderedPageBreak/>
              <w:t>应交税费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837,513.52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1,781,021.31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60,440,799.08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30,219,237.55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其中：应付利息</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500" w:firstLine="900"/>
              <w:rPr>
                <w:rFonts w:ascii="宋体" w:eastAsia="宋体" w:hAnsi="宋体" w:cs="宋体"/>
                <w:sz w:val="18"/>
                <w:szCs w:val="18"/>
              </w:rPr>
            </w:pPr>
            <w:r w:rsidRPr="00F50B51">
              <w:rPr>
                <w:rFonts w:ascii="宋体" w:eastAsia="宋体" w:hAnsi="宋体" w:cs="宋体"/>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持有待售负债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一年内到期的非流动负债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46,800,000.00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36,800,000.00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3,157,584.56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2,392,740.38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流动负债合计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847,123,845.05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848,793,369.78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长期借款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18,400,000.00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应付债券</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273,371,124.85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265,001,933.79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500" w:firstLine="900"/>
              <w:rPr>
                <w:rFonts w:ascii="宋体" w:eastAsia="宋体" w:hAnsi="宋体" w:cs="宋体"/>
                <w:sz w:val="18"/>
                <w:szCs w:val="18"/>
              </w:rPr>
            </w:pPr>
            <w:r w:rsidRPr="00F50B51">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长期应付职工薪酬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预计负债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递延收益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3,176,660.68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4,611,962.89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15,249.00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75,639.60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非流动负债合计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284,163,034.53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288,089,536.28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1,131,286,879.58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1,136,882,906.06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所有者权益：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股本</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277,672,242.00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277,671,652.00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其他权益工具</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65,680,151.68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65,682,092.34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500" w:firstLine="900"/>
              <w:rPr>
                <w:rFonts w:ascii="宋体" w:eastAsia="宋体" w:hAnsi="宋体" w:cs="宋体"/>
                <w:sz w:val="18"/>
                <w:szCs w:val="18"/>
              </w:rPr>
            </w:pPr>
            <w:r w:rsidRPr="00F50B51">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资本公积</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266,464,354.36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261,384,380.78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减：库存股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专项储备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21,002,627.58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25,608,212.60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盈余公积</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353,006,751.59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355,935,209.44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1,011,219,049.46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1,013,674,469.41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负债和所有者权益总计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2,142,505,929.04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2,150,557,375.47</w:t>
            </w:r>
          </w:p>
        </w:tc>
      </w:tr>
    </w:tbl>
    <w:p w:rsidR="0058782B" w:rsidRPr="00F50B51" w:rsidRDefault="00F80EE7">
      <w:pPr>
        <w:pStyle w:val="3"/>
        <w:spacing w:line="280" w:lineRule="exact"/>
        <w:jc w:val="left"/>
        <w:rPr>
          <w:rFonts w:ascii="宋体" w:hAnsi="宋体" w:cs="宋体"/>
          <w:b/>
          <w:bCs/>
        </w:rPr>
      </w:pPr>
      <w:bookmarkStart w:id="109" w:name="_Toc988997"/>
      <w:r w:rsidRPr="00F50B51">
        <w:rPr>
          <w:rFonts w:ascii="宋体" w:hAnsi="宋体" w:cs="宋体"/>
          <w:b/>
          <w:bCs/>
        </w:rPr>
        <w:t>3</w:t>
      </w:r>
      <w:r w:rsidRPr="00F50B51">
        <w:rPr>
          <w:rFonts w:ascii="宋体" w:hAnsi="宋体" w:cs="宋体"/>
          <w:b/>
          <w:bCs/>
        </w:rPr>
        <w:t>、合并利润表</w:t>
      </w:r>
      <w:bookmarkEnd w:id="10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年半年度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年半年度</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一、营业总收入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900,742,350.39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775,505,881.77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其中：营业收入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900,742,350.39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775,505,881.77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已赚保费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手续费及佣金收入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二、营业总成本</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882,049,511.99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748,691,743.26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其中：营业成本</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792,176,845.31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674,281,693.51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利息支出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手续费及佣金支出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退保金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赔付支出净额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提取保险责任准备金净额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保单红利支出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分保费用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税金及附加</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2,922,278.36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1,421,372.78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销售费用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3,019,401.21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2,269,128.71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管理费用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36,022,401.07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23,883,720.87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研发费用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33,260,554.10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28,914,992.87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财务费用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14,648,031.94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17,920,834.52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500" w:firstLine="900"/>
              <w:rPr>
                <w:rFonts w:ascii="宋体" w:eastAsia="宋体" w:hAnsi="宋体" w:cs="宋体"/>
                <w:sz w:val="18"/>
                <w:szCs w:val="18"/>
              </w:rPr>
            </w:pPr>
            <w:r w:rsidRPr="00F50B51">
              <w:rPr>
                <w:rFonts w:ascii="宋体" w:eastAsia="宋体" w:hAnsi="宋体" w:cs="宋体"/>
                <w:sz w:val="18"/>
                <w:szCs w:val="18"/>
              </w:rPr>
              <w:t>其中：利息费用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23,496,012.35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18,768,321.21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800" w:firstLine="1440"/>
              <w:rPr>
                <w:rFonts w:ascii="宋体" w:eastAsia="宋体" w:hAnsi="宋体" w:cs="宋体"/>
                <w:sz w:val="18"/>
                <w:szCs w:val="18"/>
              </w:rPr>
            </w:pPr>
            <w:r w:rsidRPr="00F50B51">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982,523.32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1,077,991.25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加：其他收益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5,034,807.35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2,592,068.56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投资收益（损失以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737,207.66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500" w:firstLine="900"/>
              <w:rPr>
                <w:rFonts w:ascii="宋体" w:eastAsia="宋体" w:hAnsi="宋体" w:cs="宋体"/>
                <w:sz w:val="18"/>
                <w:szCs w:val="18"/>
              </w:rPr>
            </w:pPr>
            <w:r w:rsidRPr="00F50B51">
              <w:rPr>
                <w:rFonts w:ascii="宋体" w:eastAsia="宋体" w:hAnsi="宋体" w:cs="宋体"/>
                <w:sz w:val="18"/>
                <w:szCs w:val="18"/>
              </w:rPr>
              <w:t>其中：对联营企业和合营企业的投资收益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800" w:firstLine="1440"/>
              <w:rPr>
                <w:rFonts w:ascii="宋体" w:eastAsia="宋体" w:hAnsi="宋体" w:cs="宋体"/>
                <w:sz w:val="18"/>
                <w:szCs w:val="18"/>
              </w:rPr>
            </w:pPr>
            <w:r w:rsidRPr="00F50B51">
              <w:rPr>
                <w:rFonts w:ascii="宋体" w:eastAsia="宋体" w:hAnsi="宋体" w:cs="宋体"/>
                <w:sz w:val="18"/>
                <w:szCs w:val="18"/>
              </w:rPr>
              <w:t>以摊余成本计量的金融资产终止确认收益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汇兑收益（损失以</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净敞口套期收益（损失以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公允价值变动收益（损失以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-402,604.00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信用减值损失（损失以</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-1,245,475.52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-1,804,134.64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资产减值损失（损失以</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-2,115,017.40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-2,820,392.74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资产处置收益（损失以</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-19,878.06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三、营业利润（亏损以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20,701,756.49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24,761,801.63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加：营业外收入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14,600.40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减：营业外支出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273,886.73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267,286.09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四、利润总额（亏损总额以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20,429,169.76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24,509,115.94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减：所得税费用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-2,651,089.51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231,868.42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五、净利润（净亏损以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23,080,259.27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24,277,247.52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（一）按经营持续性分类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持续经营净利润（净亏损以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23,080,259.27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24,277,247.52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终止经营净利润（净亏损以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（二）按所有权归属分类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归属于母公司所有者的净利润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23,080,259.27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24,277,247.52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少数股东损益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六、其他综合收益的税后净额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归属母公司所有者的其他综合收益的税后净额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200" w:firstLine="360"/>
              <w:rPr>
                <w:rFonts w:ascii="宋体" w:eastAsia="宋体" w:hAnsi="宋体" w:cs="宋体"/>
                <w:sz w:val="18"/>
                <w:szCs w:val="18"/>
              </w:rPr>
            </w:pPr>
            <w:r w:rsidRPr="00F50B51">
              <w:rPr>
                <w:rFonts w:ascii="宋体" w:eastAsia="宋体" w:hAnsi="宋体" w:cs="宋体"/>
                <w:sz w:val="18"/>
                <w:szCs w:val="18"/>
              </w:rPr>
              <w:t>（一）不能重分类进损益的其他综合收益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重新计量设定受益计划变动额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权益法下不能转损益的其他综合收益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其他权益工具投资公允价值变动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企业自身信用风险公允价值变动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200" w:firstLine="360"/>
              <w:rPr>
                <w:rFonts w:ascii="宋体" w:eastAsia="宋体" w:hAnsi="宋体" w:cs="宋体"/>
                <w:sz w:val="18"/>
                <w:szCs w:val="18"/>
              </w:rPr>
            </w:pPr>
            <w:r w:rsidRPr="00F50B51">
              <w:rPr>
                <w:rFonts w:ascii="宋体" w:eastAsia="宋体" w:hAnsi="宋体" w:cs="宋体"/>
                <w:sz w:val="18"/>
                <w:szCs w:val="18"/>
              </w:rPr>
              <w:t>（二）将重分类进损益的其他综合收益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权益法下可转损益的其他综合收益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其他债权投资公允价值变动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金融资产重分类计入其他综合收益的金额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其他债权投资信用减值准备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现金流量套期储备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6.</w:t>
            </w:r>
            <w:r w:rsidRPr="00F50B51">
              <w:rPr>
                <w:rFonts w:ascii="宋体" w:eastAsia="宋体" w:hAnsi="宋体" w:cs="宋体"/>
                <w:sz w:val="18"/>
                <w:szCs w:val="18"/>
              </w:rPr>
              <w:t>外币财务报表折算差额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7.</w:t>
            </w:r>
            <w:r w:rsidRPr="00F50B51">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归属于少数股东的其他综合收益的税后净额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七、综合收益总额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23,080,259.27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24,277,247.52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归属于母公司所有者的综合收益总额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23,080,259.27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24,277,247.52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归属于少数股东的综合收益总额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八、每股收益：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（一）基本每股收益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0.083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（二）稀释每股收益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0.083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0.09</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本期发生同一控制下企业合并的，被合并方在合并前实现的净利润为：</w:t>
      </w:r>
      <w:r w:rsidRPr="00F50B51">
        <w:rPr>
          <w:rFonts w:ascii="宋体" w:eastAsia="宋体" w:hAnsi="宋体" w:cs="宋体"/>
          <w:sz w:val="18"/>
          <w:szCs w:val="18"/>
        </w:rPr>
        <w:t>0.00</w:t>
      </w:r>
      <w:r w:rsidRPr="00F50B51">
        <w:rPr>
          <w:rFonts w:ascii="宋体" w:eastAsia="宋体" w:hAnsi="宋体" w:cs="宋体"/>
          <w:sz w:val="18"/>
          <w:szCs w:val="18"/>
        </w:rPr>
        <w:t>元，上期被合并方实现的净利润为：</w:t>
      </w:r>
      <w:r w:rsidRPr="00F50B51">
        <w:rPr>
          <w:rFonts w:ascii="宋体" w:eastAsia="宋体" w:hAnsi="宋体" w:cs="宋体"/>
          <w:sz w:val="18"/>
          <w:szCs w:val="18"/>
        </w:rPr>
        <w:t>0.00</w:t>
      </w:r>
      <w:r w:rsidRPr="00F50B51">
        <w:rPr>
          <w:rFonts w:ascii="宋体" w:eastAsia="宋体" w:hAnsi="宋体" w:cs="宋体"/>
          <w:sz w:val="18"/>
          <w:szCs w:val="18"/>
        </w:rPr>
        <w:t>元。</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法定代表人：陈启丰</w:t>
      </w:r>
      <w:r w:rsidRPr="00F50B51">
        <w:rPr>
          <w:rFonts w:ascii="宋体" w:eastAsia="宋体" w:hAnsi="宋体" w:cs="宋体"/>
          <w:sz w:val="18"/>
          <w:szCs w:val="18"/>
        </w:rPr>
        <w:t xml:space="preserve">    </w:t>
      </w:r>
      <w:r w:rsidRPr="00F50B51">
        <w:rPr>
          <w:rFonts w:ascii="宋体" w:eastAsia="宋体" w:hAnsi="宋体" w:cs="宋体"/>
          <w:sz w:val="18"/>
          <w:szCs w:val="18"/>
        </w:rPr>
        <w:t>主管会计工作负责人：郑丽芳</w:t>
      </w:r>
      <w:r w:rsidRPr="00F50B51">
        <w:rPr>
          <w:rFonts w:ascii="宋体" w:eastAsia="宋体" w:hAnsi="宋体" w:cs="宋体"/>
          <w:sz w:val="18"/>
          <w:szCs w:val="18"/>
        </w:rPr>
        <w:t xml:space="preserve">    </w:t>
      </w:r>
      <w:r w:rsidRPr="00F50B51">
        <w:rPr>
          <w:rFonts w:ascii="宋体" w:eastAsia="宋体" w:hAnsi="宋体" w:cs="宋体"/>
          <w:sz w:val="18"/>
          <w:szCs w:val="18"/>
        </w:rPr>
        <w:t>会计机构负责人：陈东洁</w:t>
      </w:r>
    </w:p>
    <w:p w:rsidR="0058782B" w:rsidRPr="00F50B51" w:rsidRDefault="00F80EE7">
      <w:pPr>
        <w:pStyle w:val="3"/>
        <w:spacing w:line="280" w:lineRule="exact"/>
        <w:jc w:val="left"/>
        <w:rPr>
          <w:rFonts w:ascii="宋体" w:hAnsi="宋体" w:cs="宋体"/>
          <w:b/>
          <w:bCs/>
        </w:rPr>
      </w:pPr>
      <w:bookmarkStart w:id="110" w:name="_Toc988998"/>
      <w:r w:rsidRPr="00F50B51">
        <w:rPr>
          <w:rFonts w:ascii="宋体" w:hAnsi="宋体" w:cs="宋体"/>
          <w:b/>
          <w:bCs/>
        </w:rPr>
        <w:t>4</w:t>
      </w:r>
      <w:r w:rsidRPr="00F50B51">
        <w:rPr>
          <w:rFonts w:ascii="宋体" w:hAnsi="宋体" w:cs="宋体"/>
          <w:b/>
          <w:bCs/>
        </w:rPr>
        <w:t>、母公司利润表</w:t>
      </w:r>
      <w:bookmarkEnd w:id="11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年半年度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年半年度</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一、营业收入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864,442,356.31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788,931,760.00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减：营业成本</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776,633,263.80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704,786,874.32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税金及附加</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1,611,413.49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325,723.16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销售费用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2,155,652.44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1,422,303.02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管理费用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26,107,495.58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15,867,599.77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研发费用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26,041,904.62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24,280,705.48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财务费用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9,090,210.10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11,415,192.30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其中：利息费用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18,819,584.35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13,031,261.96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700" w:firstLine="1260"/>
              <w:rPr>
                <w:rFonts w:ascii="宋体" w:eastAsia="宋体" w:hAnsi="宋体" w:cs="宋体"/>
                <w:sz w:val="18"/>
                <w:szCs w:val="18"/>
              </w:rPr>
            </w:pPr>
            <w:r w:rsidRPr="00F50B51">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1,785,459.70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1,778,680.90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加：其他收益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1,526,028.68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1,514,848.83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投资收益（损失以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737,207.66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其中：对联营企业和合营企业的投资收益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700" w:firstLine="1260"/>
              <w:rPr>
                <w:rFonts w:ascii="宋体" w:eastAsia="宋体" w:hAnsi="宋体" w:cs="宋体"/>
                <w:sz w:val="18"/>
                <w:szCs w:val="18"/>
              </w:rPr>
            </w:pPr>
            <w:r w:rsidRPr="00F50B51">
              <w:rPr>
                <w:rFonts w:ascii="宋体" w:eastAsia="宋体" w:hAnsi="宋体" w:cs="宋体"/>
                <w:sz w:val="18"/>
                <w:szCs w:val="18"/>
              </w:rPr>
              <w:t>以摊余成本计量的金融资产终止确认收益（损失以</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净敞口套期收益（损失以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公允价值变动收益（损失以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-402,604.00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信用减值损失（损失以</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-1,268,330.27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-1,659,213.72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资产减值损失（损失以</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资产处置收益（损失以</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-25,382.14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二、营业利润（亏损以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23,394,718.35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30,663,614.92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加：营业外收入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减：营业外支出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228,117.00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264,139.50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三、利润总额（亏损总额以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23,167,601.35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30,404,075.42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减：所得税费用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-1,648,954.35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861,943.88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四、净利润（净亏损以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24,816,555.70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29,542,131.54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（一）持续经营净利润（净亏损以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24,816,555.70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29,542,131.54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（二）终止经营净利润（净亏损以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五、其他综合收益的税后净额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200" w:firstLine="360"/>
              <w:rPr>
                <w:rFonts w:ascii="宋体" w:eastAsia="宋体" w:hAnsi="宋体" w:cs="宋体"/>
                <w:sz w:val="18"/>
                <w:szCs w:val="18"/>
              </w:rPr>
            </w:pPr>
            <w:r w:rsidRPr="00F50B51">
              <w:rPr>
                <w:rFonts w:ascii="宋体" w:eastAsia="宋体" w:hAnsi="宋体" w:cs="宋体"/>
                <w:sz w:val="18"/>
                <w:szCs w:val="18"/>
              </w:rPr>
              <w:t>（一）不能重分类进损益的其他综合收益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重新计量设定受益计划变动额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权益法下不能转损益的其他综合收益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其他权益工具投资公允价值变动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企业自身信用风险公允价值变动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200" w:firstLine="360"/>
              <w:rPr>
                <w:rFonts w:ascii="宋体" w:eastAsia="宋体" w:hAnsi="宋体" w:cs="宋体"/>
                <w:sz w:val="18"/>
                <w:szCs w:val="18"/>
              </w:rPr>
            </w:pPr>
            <w:r w:rsidRPr="00F50B51">
              <w:rPr>
                <w:rFonts w:ascii="宋体" w:eastAsia="宋体" w:hAnsi="宋体" w:cs="宋体"/>
                <w:sz w:val="18"/>
                <w:szCs w:val="18"/>
              </w:rPr>
              <w:t>（二）将重分类进损益的其他综合收益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权益法下可转损益的其他综合收益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其他债权投资公允价值变动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金融资产重分类计入其他综合收益的金额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其他债权投资信用减值准备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现金流量套期储备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6.</w:t>
            </w:r>
            <w:r w:rsidRPr="00F50B51">
              <w:rPr>
                <w:rFonts w:ascii="宋体" w:eastAsia="宋体" w:hAnsi="宋体" w:cs="宋体"/>
                <w:sz w:val="18"/>
                <w:szCs w:val="18"/>
              </w:rPr>
              <w:t>外币财务报表折算差额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300" w:firstLine="540"/>
              <w:rPr>
                <w:rFonts w:ascii="宋体" w:eastAsia="宋体" w:hAnsi="宋体" w:cs="宋体"/>
                <w:sz w:val="18"/>
                <w:szCs w:val="18"/>
              </w:rPr>
            </w:pPr>
            <w:r w:rsidRPr="00F50B51">
              <w:rPr>
                <w:rFonts w:ascii="宋体" w:eastAsia="宋体" w:hAnsi="宋体" w:cs="宋体"/>
                <w:sz w:val="18"/>
                <w:szCs w:val="18"/>
              </w:rPr>
              <w:t>7.</w:t>
            </w:r>
            <w:r w:rsidRPr="00F50B51">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六、综合收益总额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24,816,555.70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29,542,131.54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七、每股收益：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（一）基本每股收益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（二）稀释每股收益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pStyle w:val="3"/>
        <w:spacing w:line="280" w:lineRule="exact"/>
        <w:jc w:val="left"/>
        <w:rPr>
          <w:rFonts w:ascii="宋体" w:hAnsi="宋体" w:cs="宋体"/>
          <w:b/>
          <w:bCs/>
        </w:rPr>
      </w:pPr>
      <w:bookmarkStart w:id="111" w:name="_Toc988999"/>
      <w:r w:rsidRPr="00F50B51">
        <w:rPr>
          <w:rFonts w:ascii="宋体" w:hAnsi="宋体" w:cs="宋体"/>
          <w:b/>
          <w:bCs/>
        </w:rPr>
        <w:t>5</w:t>
      </w:r>
      <w:r w:rsidRPr="00F50B51">
        <w:rPr>
          <w:rFonts w:ascii="宋体" w:hAnsi="宋体" w:cs="宋体"/>
          <w:b/>
          <w:bCs/>
        </w:rPr>
        <w:t>、合并现金流量表</w:t>
      </w:r>
      <w:bookmarkEnd w:id="11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年半年度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年半年度</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一、经营活动产生的现金流量：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销售商品、提供劳务收到的现金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718,999,781.54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628,752,420.33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客户存款和同业存放款项净增加额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向中央银行借款净增加额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向其他金融机构拆入资金净增加额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收到原保险合同保费取得的现金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收到再保业务现金净额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保户储金及投资款净增加额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收取利息、手续费及佣金的现金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拆入资金净增加额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回购业务资金净增加额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代理买卖证券收到的现金净额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收到的税费返还</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63,678,046.22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3,339,390.52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收到其他与经营活动有关的现金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118,084,372.71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100,333,845.36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经营活动现金流入小计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900,762,200.47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732,425,656.21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购买商品、接受劳务支付的现金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713,248,660.80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579,673,093.52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客户贷款及垫款净增加额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存放中央银行和同业款项净增加额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支付原保险合同赔付款项的现金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拆出资金净增加额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支付利息、手续费及佣金的现金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支付保单红利的现金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支付给职工以及为职工支付的现金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41,068,453.78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39,658,494.65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支付的各项税费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3,717,342.78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11,468,700.88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支付其他与经营活动有关的现金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116,318,528.52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90,952,081.62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经营活动现金流出小计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874,352,985.88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721,752,370.67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26,409,214.59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10,673,285.54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二、投资活动产生的现金流量：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收回投资收到的现金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取得投资收益收到的现金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1,331,317.94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577,958.99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处置固定资产、无形资产和其他长期资产收回的现金净额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25,007,000.00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处置子公司及其他营业单位收到的现金净额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收到其他与投资活动有关的现金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77,903,804.02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投资活动现金流入小计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1,331,317.94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103,488,763.01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购建固定资产、无形资产和其他长期资产支付的现金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15,966,316.87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36,671,018.59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投资支付的现金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质押贷款净增加额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取得子公司及其他营业单位支付的现金净额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支付其他与投资活动有关的现金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95,200,000.00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投资活动现金流出小计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15,966,316.87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131,871,018.59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投资活动产生的现金流量净额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-14,634,998.93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-28,382,255.58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三、筹资活动产生的现金流量：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吸收投资收到的现金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其中：子公司吸收少数股东投资收到的现金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取得借款收到的现金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296,110,000.00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449,206,750.00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收到其他与筹资活动有关的现金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筹资活动现金流入小计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298,710,000.00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449,206,750.00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偿还债务支付的现金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236,100,000.00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435,250,000.00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分配股利、利润或偿付利息支付的现金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45,591,982.41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18,591,823.89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其中：子公司支付给少数股东的股利、利润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支付其他与筹资活动有关的现金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6,118,947.79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筹资活动现金流出小计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281,691,982.41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459,960,771.68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筹资活动产生的现金流量净额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17,018,017.59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-10,754,021.68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四、汇率变动对现金及现金等价物的影响</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8,232,269.68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25,617.11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五、现金及现金等价物净增加额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37,024,502.93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-28,437,374.61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加：期初现金及现金等价物余额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134,323,936.11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123,633,768.79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六、期末现金及现金等价物余额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171,348,439.04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95,196,394.18</w:t>
            </w:r>
          </w:p>
        </w:tc>
      </w:tr>
    </w:tbl>
    <w:p w:rsidR="0058782B" w:rsidRPr="00F50B51" w:rsidRDefault="00F80EE7">
      <w:pPr>
        <w:pStyle w:val="3"/>
        <w:spacing w:line="280" w:lineRule="exact"/>
        <w:jc w:val="left"/>
        <w:rPr>
          <w:rFonts w:ascii="宋体" w:hAnsi="宋体" w:cs="宋体"/>
          <w:b/>
          <w:bCs/>
        </w:rPr>
      </w:pPr>
      <w:bookmarkStart w:id="112" w:name="_Toc989000"/>
      <w:r w:rsidRPr="00F50B51">
        <w:rPr>
          <w:rFonts w:ascii="宋体" w:hAnsi="宋体" w:cs="宋体"/>
          <w:b/>
          <w:bCs/>
        </w:rPr>
        <w:t>6</w:t>
      </w:r>
      <w:r w:rsidRPr="00F50B51">
        <w:rPr>
          <w:rFonts w:ascii="宋体" w:hAnsi="宋体" w:cs="宋体"/>
          <w:b/>
          <w:bCs/>
        </w:rPr>
        <w:t>、母公司现金流量表</w:t>
      </w:r>
      <w:bookmarkEnd w:id="112"/>
    </w:p>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年半年度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年半年度</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一、经营活动产生的现金流量：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销售商品、提供劳务收到的现金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659,087,293.45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570,491,025.01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收到的税费返还</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29,445,522.97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3,339,390.52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收到其他与经营活动有关的现金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79,377,108.95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98,303,969.26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经营活动现金流入小计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767,909,925.37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672,134,384.79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购买商品、接受劳务支付的现金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469,025,692.54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524,973,940.46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支付给职工以及为职工支付的现金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25,276,390.53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24,479,931.07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支付的各项税费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2,446,486.37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2,338,253.08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支付其他与经营活动有关的现金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84,619,299.20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62,293,005.47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经营活动现金流出小计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581,367,868.64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614,085,130.08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186,542,056.73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58,049,254.71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二、投资活动产生的现金流量：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收回投资收到的现金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取得投资收益收到的现金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1,331,317.94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577,958.99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处置固定资产、无形资产和其他长期资产收回的现金净额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处置子公司及其他营业单位收到的现金净额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收到其他与投资活动有关的现金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-212,584,079.50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48,822,985.01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投资活动现金流入小计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-211,252,761.56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49,400,944.00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购建固定资产、无形资产和其他长期资产支付的现金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11,886,100.44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22,838,873.43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投资支付的现金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取得子公司及其他营业单位支付的现金净额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支付其他与投资活动有关的现金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100,500,000.00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投资活动现金流出小计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11,886,100.44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123,338,873.43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投资活动产生的现金流量净额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-223,138,862.00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-73,937,929.43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三、筹资活动产生的现金流量：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吸收投资收到的现金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取得借款收到的现金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256,110,000.00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209,206,750.00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收到其他与筹资活动有关的现金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筹资活动现金流入小计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258,710,000.00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209,206,750.00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偿还债务支付的现金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169,100,000.00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237,250,000.00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分配股利、利润或偿付利息支付的现金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37,873,339.22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10,474,826.32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支付其他与筹资活动有关的现金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3,649,510.18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筹资活动现金流出小计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206,973,339.22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251,374,336.50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筹资活动产生的现金流量净额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51,736,660.78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-42,167,586.50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四、汇率变动对现金及现金等价物的影响</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8,232,269.68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25,617.11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五、现金及现金等价物净增加额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23,372,125.19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-58,030,644.11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ind w:firstLineChars="100" w:firstLine="180"/>
              <w:rPr>
                <w:rFonts w:ascii="宋体" w:eastAsia="宋体" w:hAnsi="宋体" w:cs="宋体"/>
                <w:sz w:val="18"/>
                <w:szCs w:val="18"/>
              </w:rPr>
            </w:pPr>
            <w:r w:rsidRPr="00F50B51">
              <w:rPr>
                <w:rFonts w:ascii="宋体" w:eastAsia="宋体" w:hAnsi="宋体" w:cs="宋体"/>
                <w:sz w:val="18"/>
                <w:szCs w:val="18"/>
              </w:rPr>
              <w:t>加：期初现金及现金等价物余额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120,648,355.16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108,295,824.23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六、期末现金及现金等价物余额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144,020,480.35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50,265,180.12</w:t>
            </w:r>
          </w:p>
        </w:tc>
      </w:tr>
    </w:tbl>
    <w:p w:rsidR="0058782B" w:rsidRPr="00F50B51" w:rsidRDefault="00F80EE7">
      <w:pPr>
        <w:pStyle w:val="3"/>
        <w:spacing w:line="280" w:lineRule="exact"/>
        <w:jc w:val="left"/>
        <w:rPr>
          <w:rFonts w:ascii="宋体" w:hAnsi="宋体" w:cs="宋体"/>
          <w:b/>
          <w:bCs/>
        </w:rPr>
      </w:pPr>
      <w:bookmarkStart w:id="113" w:name="_Toc989001"/>
      <w:r w:rsidRPr="00F50B51">
        <w:rPr>
          <w:rFonts w:ascii="宋体" w:hAnsi="宋体" w:cs="宋体"/>
          <w:b/>
          <w:bCs/>
        </w:rPr>
        <w:t>7</w:t>
      </w:r>
      <w:r w:rsidRPr="00F50B51">
        <w:rPr>
          <w:rFonts w:ascii="宋体" w:hAnsi="宋体" w:cs="宋体"/>
          <w:b/>
          <w:bCs/>
        </w:rPr>
        <w:t>、合并所有者权益变动表</w:t>
      </w:r>
      <w:bookmarkEnd w:id="113"/>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本期金额</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198"/>
        <w:gridCol w:w="562"/>
        <w:gridCol w:w="562"/>
        <w:gridCol w:w="562"/>
        <w:gridCol w:w="562"/>
        <w:gridCol w:w="563"/>
        <w:gridCol w:w="563"/>
        <w:gridCol w:w="563"/>
        <w:gridCol w:w="563"/>
        <w:gridCol w:w="563"/>
        <w:gridCol w:w="563"/>
        <w:gridCol w:w="563"/>
        <w:gridCol w:w="563"/>
        <w:gridCol w:w="563"/>
        <w:gridCol w:w="563"/>
        <w:gridCol w:w="563"/>
      </w:tblGrid>
      <w:tr w:rsidR="0058782B" w:rsidRPr="00F50B51">
        <w:trPr>
          <w:trHeight w:val="240"/>
        </w:trPr>
        <w:tc>
          <w:tcPr>
            <w:tcW w:w="120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8439"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年半年度</w:t>
            </w:r>
          </w:p>
        </w:tc>
      </w:tr>
      <w:tr w:rsidR="0058782B" w:rsidRPr="00F50B51">
        <w:trPr>
          <w:trHeight w:val="240"/>
        </w:trPr>
        <w:tc>
          <w:tcPr>
            <w:tcW w:w="120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314"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归属于母公司所有者权益</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0" w:lineRule="atLeast"/>
              <w:jc w:val="center"/>
              <w:rPr>
                <w:rFonts w:ascii="宋体" w:eastAsia="宋体" w:hAnsi="宋体" w:cs="宋体"/>
                <w:sz w:val="18"/>
                <w:szCs w:val="18"/>
              </w:rPr>
            </w:pPr>
            <w:r w:rsidRPr="00F50B51">
              <w:rPr>
                <w:rFonts w:ascii="宋体" w:eastAsia="宋体" w:hAnsi="宋体" w:cs="宋体"/>
                <w:sz w:val="18"/>
                <w:szCs w:val="18"/>
              </w:rPr>
              <w:t>少数股东权益</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所有者权益合计</w:t>
            </w:r>
          </w:p>
        </w:tc>
      </w:tr>
      <w:tr w:rsidR="0058782B" w:rsidRPr="00F50B51">
        <w:trPr>
          <w:trHeight w:val="240"/>
        </w:trPr>
        <w:tc>
          <w:tcPr>
            <w:tcW w:w="120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股本</w:t>
            </w:r>
          </w:p>
        </w:tc>
        <w:tc>
          <w:tcPr>
            <w:tcW w:w="1688"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其他权益工具</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资本公积</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减：库存股</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其他综合收益</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专项储备</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盈余公积</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一般风险准备</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未分配利润</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小计</w:t>
            </w:r>
          </w:p>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20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优先股</w:t>
            </w:r>
          </w:p>
        </w:tc>
        <w:tc>
          <w:tcPr>
            <w:tcW w:w="56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永续债</w:t>
            </w:r>
          </w:p>
        </w:tc>
        <w:tc>
          <w:tcPr>
            <w:tcW w:w="56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一、上年期末余额</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277,671,652.00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65,682,092.34</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222,338,577.93</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31,918,879.60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387,320,163.25</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1,012,324,287.37</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1,012,324,287.37</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加：会计政策变更</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前期差错更正</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同一控制下企业合并</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其他</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二、本年期初余额</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277,671,652.00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65,682,092.34</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222,338,577.93</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31,918,879.60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387,320,163.25</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1,012,324,287.37</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1,012,324,287.37</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三、本期增减变动金额（减少以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590.00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-1,940.66</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5,079,973.58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-6,527,554.42</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-4,664,754.28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-6,113,685.78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-6,113,685.78</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（一）综合收益总额</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23,080,259.27</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23,080,259.27</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23,080,259.27</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（二）所有者投入和减少资本</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590.00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-1,940.66</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5,079,973.58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5,078,622.92</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5,078,622.92</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．所有者投入的普通股</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．其他权益工具持有者投入资本</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590.00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-1,940.66</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9,618.37</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8,267.71</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8,267.71</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．股份支付计入所有者权益的金额</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5,070,355.21</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5,070,355.21</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5,070,355.21</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．其他</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（三）利润分配</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-27,745,013.55</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-27,745,013.55</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-27,745,013.55</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．提取盈余公积</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．提取一般风险准备</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．对所有者（或股东）的分配</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-27,745,013.55</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-27,745,013.55</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-27,745,013.55</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．其他</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（四）所有者权益内部结转</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．资本公积转增资本（或股本）</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．盈余公积转增资本（或股本）</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．盈余公积弥补亏损</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．设定受益计划变动额结转留存收益</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．其他综合收益结转留存收益</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6</w:t>
            </w:r>
            <w:r w:rsidRPr="00F50B51">
              <w:rPr>
                <w:rFonts w:ascii="宋体" w:eastAsia="宋体" w:hAnsi="宋体" w:cs="宋体"/>
                <w:sz w:val="18"/>
                <w:szCs w:val="18"/>
              </w:rPr>
              <w:t>．其他</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（五）专项储备</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-6,527,554.42</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-6,527,554.42</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-6,527,554.42</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．本期提取</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162,548.28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162,548.28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162,548.28</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．本期使用</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6,690,102.70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6,690,102.70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6,690,102.70</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（六）其他</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四、本期期末余额</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277,672,242.00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65,680,151.68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227,418,551.51</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25,391,325.18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382,655,408.97</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1,006,210,601.59</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1,006,210,601.59</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上年金额</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198"/>
        <w:gridCol w:w="562"/>
        <w:gridCol w:w="562"/>
        <w:gridCol w:w="562"/>
        <w:gridCol w:w="562"/>
        <w:gridCol w:w="563"/>
        <w:gridCol w:w="563"/>
        <w:gridCol w:w="563"/>
        <w:gridCol w:w="563"/>
        <w:gridCol w:w="563"/>
        <w:gridCol w:w="563"/>
        <w:gridCol w:w="563"/>
        <w:gridCol w:w="563"/>
        <w:gridCol w:w="563"/>
        <w:gridCol w:w="563"/>
        <w:gridCol w:w="563"/>
      </w:tblGrid>
      <w:tr w:rsidR="0058782B" w:rsidRPr="00F50B51">
        <w:trPr>
          <w:trHeight w:val="240"/>
        </w:trPr>
        <w:tc>
          <w:tcPr>
            <w:tcW w:w="120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8439"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年半年度</w:t>
            </w:r>
          </w:p>
        </w:tc>
      </w:tr>
      <w:tr w:rsidR="0058782B" w:rsidRPr="00F50B51">
        <w:trPr>
          <w:trHeight w:val="240"/>
        </w:trPr>
        <w:tc>
          <w:tcPr>
            <w:tcW w:w="120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314"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归属于母公司所有者权益</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少数股东权益</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所有者权益合计</w:t>
            </w:r>
          </w:p>
        </w:tc>
      </w:tr>
      <w:tr w:rsidR="0058782B" w:rsidRPr="00F50B51">
        <w:trPr>
          <w:trHeight w:val="240"/>
        </w:trPr>
        <w:tc>
          <w:tcPr>
            <w:tcW w:w="120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股本</w:t>
            </w:r>
          </w:p>
        </w:tc>
        <w:tc>
          <w:tcPr>
            <w:tcW w:w="1688"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其他权益工具</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资本公积</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减：库存股</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其他综合收益</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专项储备</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盈余公积</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一般风险准备</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未分配利润</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5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小计</w:t>
            </w:r>
          </w:p>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20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优先股</w:t>
            </w:r>
          </w:p>
        </w:tc>
        <w:tc>
          <w:tcPr>
            <w:tcW w:w="56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永续债</w:t>
            </w:r>
          </w:p>
        </w:tc>
        <w:tc>
          <w:tcPr>
            <w:tcW w:w="56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5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一、上年期末余额</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273,642,296.00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65,643,695.59</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202,897,655.07</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29,445,571.16</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47,909,123.94</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367,225,311.52</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986,763,653.28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986,763,653.28</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加：会计政策变更</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前期差错更正</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同一控制下企业合并</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其他</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二、本年期初余额</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273,642,296.00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65,643,695.59</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202,897,655.07</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29,445,571.16</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47,909,123.94</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367,225,311.52</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986,763,653.28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986,763,653.28</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三、本期增减变动金额（减少以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-642,010.00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43,358.68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-2,984,515.68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-1,240,610.29</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24,277,247.52</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19,453,470.23</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19,453,470.23</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（一）综合收益总额</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24,277,247.52</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24,277,247.52</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24,277,247.52</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（二）所有者投入和减少资本</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-642,010.00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43,358.68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-2,984,515.68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-3,583,167.00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-3,583,167.00</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．所有者投入的普通股</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．其他权益工具持有者投入资本</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1,430.00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43,358.68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21,554.50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66,343.18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66,343.18</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．股份支付计入所有者权益的金额</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．其他</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-643,440.00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-3,006,070.18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-3,649,510.18</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-3,649,510.18</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（三）利润分配</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．提取盈余公积</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．提取一般风险准备</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．对所有者（或股东）的分配</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．其他</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（四）所有者权益内部结转</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．资本公积转增资本（或股本）</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．盈余公积转增资本（或股本）</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．盈余公积弥补亏损</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．设定受益计划变动额结转留存收益</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．其他综合收益结转留存收益</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6</w:t>
            </w:r>
            <w:r w:rsidRPr="00F50B51">
              <w:rPr>
                <w:rFonts w:ascii="宋体" w:eastAsia="宋体" w:hAnsi="宋体" w:cs="宋体"/>
                <w:sz w:val="18"/>
                <w:szCs w:val="18"/>
              </w:rPr>
              <w:t>．其他</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（五）专项储备</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-1,240,610.29</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-1,240,610.29</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-1,240,610.29</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．本期提取</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320,156.70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320,156.70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320,156.70</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．本期使用</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1,560,766.99</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1,560,766.99</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1,560,766.99</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（六）其他</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四、本期期末余额</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273,000,286.00</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65,687,054.27</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199,913,139.39</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28,204,960.87</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47,909,123.94</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391,502,559.04</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1,006,217,123.51</w:t>
            </w: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56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1,006,217,123.51</w:t>
            </w:r>
          </w:p>
        </w:tc>
      </w:tr>
    </w:tbl>
    <w:p w:rsidR="0058782B" w:rsidRPr="00F50B51" w:rsidRDefault="00F80EE7">
      <w:pPr>
        <w:pStyle w:val="3"/>
        <w:spacing w:line="280" w:lineRule="exact"/>
        <w:jc w:val="left"/>
        <w:rPr>
          <w:rFonts w:ascii="宋体" w:hAnsi="宋体" w:cs="宋体"/>
          <w:b/>
          <w:bCs/>
        </w:rPr>
      </w:pPr>
      <w:bookmarkStart w:id="114" w:name="_Toc989002"/>
      <w:r w:rsidRPr="00F50B51">
        <w:rPr>
          <w:rFonts w:ascii="宋体" w:hAnsi="宋体" w:cs="宋体"/>
          <w:b/>
          <w:bCs/>
        </w:rPr>
        <w:t>8</w:t>
      </w:r>
      <w:r w:rsidRPr="00F50B51">
        <w:rPr>
          <w:rFonts w:ascii="宋体" w:hAnsi="宋体" w:cs="宋体"/>
          <w:b/>
          <w:bCs/>
        </w:rPr>
        <w:t>、母公司所有者权益变动表</w:t>
      </w:r>
      <w:bookmarkEnd w:id="114"/>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本期金额</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0"/>
        <w:gridCol w:w="703"/>
        <w:gridCol w:w="703"/>
        <w:gridCol w:w="703"/>
        <w:gridCol w:w="704"/>
        <w:gridCol w:w="703"/>
        <w:gridCol w:w="703"/>
        <w:gridCol w:w="703"/>
        <w:gridCol w:w="703"/>
        <w:gridCol w:w="703"/>
        <w:gridCol w:w="703"/>
        <w:gridCol w:w="703"/>
        <w:gridCol w:w="705"/>
      </w:tblGrid>
      <w:tr w:rsidR="0058782B" w:rsidRPr="00F50B51">
        <w:trPr>
          <w:trHeight w:val="240"/>
        </w:trPr>
        <w:tc>
          <w:tcPr>
            <w:tcW w:w="120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84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年半年度</w:t>
            </w:r>
          </w:p>
        </w:tc>
      </w:tr>
      <w:tr w:rsidR="0058782B" w:rsidRPr="00F50B51">
        <w:trPr>
          <w:trHeight w:val="240"/>
        </w:trPr>
        <w:tc>
          <w:tcPr>
            <w:tcW w:w="120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股本</w:t>
            </w:r>
          </w:p>
        </w:tc>
        <w:tc>
          <w:tcPr>
            <w:tcW w:w="211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其他权益工具</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资本公积</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减：库存股</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其他综合收益</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专项储备</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盈余公积</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未分配利润</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所有者权益合计</w:t>
            </w:r>
          </w:p>
        </w:tc>
      </w:tr>
      <w:tr w:rsidR="0058782B" w:rsidRPr="00F50B51">
        <w:trPr>
          <w:trHeight w:val="240"/>
        </w:trPr>
        <w:tc>
          <w:tcPr>
            <w:tcW w:w="120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优先股</w:t>
            </w:r>
          </w:p>
        </w:tc>
        <w:tc>
          <w:tcPr>
            <w:tcW w:w="7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永续债</w:t>
            </w:r>
          </w:p>
        </w:tc>
        <w:tc>
          <w:tcPr>
            <w:tcW w:w="7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一、上年期末余额</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277,671,652.00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65,682,092.34</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261,384,380.78</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25,608,212.60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355,935,209.44</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1,013,674,469.41</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加：会计政策变更</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前期差错更正</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其他</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二、本年期初余额</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277,671,652.00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65,682,092.34</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261,384,380.78</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25,608,212.60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355,935,209.44</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1,013,674,469.41</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三、本期增减变动金额（减少以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590.00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-1,940.66</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5,079,973.58</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-4,605,585.02</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-2,928,457.85</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-2,455,419.95</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（一）综合收益总额</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24,816,555.70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24,816,555.70</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（二）所有者投入和减少资本</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590.00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-1,940.66</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5,079,973.58</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5,078,622.92</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．所有者投入的普通股</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．其他权益工具持有者投入资本</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590.00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-1,940.66</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9,618.37</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8,267.71</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．股份支付计入所有者权益的金额</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5,070,355.21</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5,070,355.21</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．其他</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（三）利润分配</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-27,745,013.55</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-27,745,013.55</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．提取盈余公积</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．对所有者（或股东）的分配</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-27,745,013.55</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-27,745,013.55</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．其他</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（四）所有者权益内部结转</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．资本公积转增资本（或股本）</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．盈余公积转增资本（或股本）</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．盈余公积弥补亏损</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．设定受益计划变动额结转留存收益</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．其他综合收益结转留存收益</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6</w:t>
            </w:r>
            <w:r w:rsidRPr="00F50B51">
              <w:rPr>
                <w:rFonts w:ascii="宋体" w:eastAsia="宋体" w:hAnsi="宋体" w:cs="宋体"/>
                <w:sz w:val="18"/>
                <w:szCs w:val="18"/>
              </w:rPr>
              <w:t>．其他</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（五）专项储备</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-4,605,585.02</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-4,605,585.02</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．本期提取</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．本期使用</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4,605,585.02</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4,605,585.02</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（六）其他</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四、本期期末余额</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277,672,242.00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65,680,151.68</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266,464,354.36</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21,002,627.58</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353,006,751.59</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1,011,219,049.46</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上年金额</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0"/>
        <w:gridCol w:w="703"/>
        <w:gridCol w:w="703"/>
        <w:gridCol w:w="703"/>
        <w:gridCol w:w="704"/>
        <w:gridCol w:w="703"/>
        <w:gridCol w:w="703"/>
        <w:gridCol w:w="703"/>
        <w:gridCol w:w="703"/>
        <w:gridCol w:w="703"/>
        <w:gridCol w:w="703"/>
        <w:gridCol w:w="703"/>
        <w:gridCol w:w="705"/>
      </w:tblGrid>
      <w:tr w:rsidR="0058782B" w:rsidRPr="00F50B51">
        <w:trPr>
          <w:trHeight w:val="240"/>
        </w:trPr>
        <w:tc>
          <w:tcPr>
            <w:tcW w:w="120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84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年半年度</w:t>
            </w:r>
          </w:p>
        </w:tc>
      </w:tr>
      <w:tr w:rsidR="0058782B" w:rsidRPr="00F50B51">
        <w:trPr>
          <w:trHeight w:val="240"/>
        </w:trPr>
        <w:tc>
          <w:tcPr>
            <w:tcW w:w="120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股本</w:t>
            </w:r>
          </w:p>
        </w:tc>
        <w:tc>
          <w:tcPr>
            <w:tcW w:w="211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其他权益工具</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资本公积</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减：库存股</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其他综合收益</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专项储备</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盈余公积</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未分配利润</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所有者权益合计</w:t>
            </w:r>
          </w:p>
        </w:tc>
      </w:tr>
      <w:tr w:rsidR="0058782B" w:rsidRPr="00F50B51">
        <w:trPr>
          <w:trHeight w:val="240"/>
        </w:trPr>
        <w:tc>
          <w:tcPr>
            <w:tcW w:w="120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优先股</w:t>
            </w:r>
          </w:p>
        </w:tc>
        <w:tc>
          <w:tcPr>
            <w:tcW w:w="7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永续债</w:t>
            </w:r>
          </w:p>
        </w:tc>
        <w:tc>
          <w:tcPr>
            <w:tcW w:w="7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vAlign w:val="center"/>
          </w:tcPr>
          <w:p w:rsidR="0058782B" w:rsidRPr="00F50B51" w:rsidRDefault="0058782B"/>
        </w:tc>
        <w:tc>
          <w:tcPr>
            <w:tcW w:w="7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一、上年期末余额</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273,642,296.00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65,643,695.59</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241,943,457.92</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21,351,984.77</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47,909,123.94</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314,039,324.66</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964,529,882.88</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加：会计政策变更</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前期差错更正</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其他</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二、本年期初余额</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273,642,296.00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65,643,695.59</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241,943,457.92</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21,351,984.77</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47,909,123.94</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314,039,324.66</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964,529,882.88</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三、本期增减变动金额（减少以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-642,010.00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43,358.68</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-2,984,515.68</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-569,434.77</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29,542,131.54</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25,389,529.77</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（一）综合收益总额</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29,542,131.54</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29,542,131.54</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（二）所有者投入和减少资本</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-642,010.00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43,358.68</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-2,984,515.68</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-3,583,167.00</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．所有者投入的普通股</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．其他权益工具持有者投入资本</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1,430.00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43,358.68</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21,554.50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66,343.18</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．股份支付计入所有者权益的金额</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．其他</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-643,440.00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-3,006,070.18</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-3,649,510.18</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（三）利润分配</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．提取盈余公积</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．对所有者（或股东）的分配</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．其他</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（四）所有者权益内部结转</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．资本公积转增资本（或股本）</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．盈余公积转增资本（或股本）</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．盈余公积弥补亏损</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．设定受益计划变动额结转留存收益</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．其他综合收益结转留存收益</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6</w:t>
            </w:r>
            <w:r w:rsidRPr="00F50B51">
              <w:rPr>
                <w:rFonts w:ascii="宋体" w:eastAsia="宋体" w:hAnsi="宋体" w:cs="宋体"/>
                <w:sz w:val="18"/>
                <w:szCs w:val="18"/>
              </w:rPr>
              <w:t>．其他</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（五）专项储备</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-569,434.77</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-569,434.77</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．本期提取</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．本期使用</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569,434.77</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569,434.77</w:t>
            </w: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（六）其他</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四、本期期末余额</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273,000,286.00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65,687,054.27</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238,958,942.24</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20,782,550.00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47,909,123.94</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343,581,456.20</w:t>
            </w: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989,919,412.65</w:t>
            </w:r>
          </w:p>
        </w:tc>
      </w:tr>
    </w:tbl>
    <w:p w:rsidR="0058782B" w:rsidRPr="00F50B51" w:rsidRDefault="00F80EE7">
      <w:pPr>
        <w:pStyle w:val="2"/>
        <w:spacing w:before="300" w:after="300" w:line="320" w:lineRule="exact"/>
        <w:rPr>
          <w:rFonts w:ascii="宋体" w:eastAsia="宋体" w:hAnsi="宋体" w:cs="宋体"/>
          <w:b/>
          <w:bCs/>
          <w:sz w:val="24"/>
          <w:szCs w:val="24"/>
        </w:rPr>
      </w:pPr>
      <w:bookmarkStart w:id="115" w:name="_Toc989003"/>
      <w:r w:rsidRPr="00F50B51">
        <w:rPr>
          <w:rFonts w:ascii="宋体" w:eastAsia="宋体" w:hAnsi="宋体" w:cs="宋体"/>
          <w:b/>
          <w:bCs/>
          <w:sz w:val="24"/>
          <w:szCs w:val="24"/>
        </w:rPr>
        <w:t>三、公司基本情况</w:t>
      </w:r>
      <w:bookmarkEnd w:id="115"/>
    </w:p>
    <w:p w:rsidR="0058782B" w:rsidRPr="00F50B51" w:rsidRDefault="00F80EE7">
      <w:pPr>
        <w:pStyle w:val="a7"/>
        <w:spacing w:before="240" w:beforeAutospacing="0" w:after="0" w:afterAutospacing="0" w:line="380" w:lineRule="atLeast"/>
        <w:ind w:right="102" w:firstLine="424"/>
        <w:jc w:val="both"/>
        <w:rPr>
          <w:rFonts w:ascii="Times New Roman" w:hAnsi="Times New Roman" w:cs="Times New Roman"/>
          <w:sz w:val="21"/>
          <w:szCs w:val="21"/>
        </w:rPr>
      </w:pPr>
      <w:r w:rsidRPr="00F50B51">
        <w:rPr>
          <w:rFonts w:cs="Times New Roman" w:hint="eastAsia"/>
          <w:sz w:val="21"/>
          <w:szCs w:val="21"/>
        </w:rPr>
        <w:t>广东翔鹭钨业股份有限公司（以下简称“公司”或“本公司”）经潮安县工商行政管理局批准成立于</w:t>
      </w:r>
      <w:r w:rsidRPr="00F50B51">
        <w:rPr>
          <w:rFonts w:ascii="Times New Roman" w:hAnsi="Times New Roman" w:cs="Times New Roman"/>
          <w:sz w:val="21"/>
          <w:szCs w:val="21"/>
        </w:rPr>
        <w:t>1997</w:t>
      </w:r>
      <w:r w:rsidRPr="00F50B51">
        <w:rPr>
          <w:rFonts w:cs="Times New Roman" w:hint="eastAsia"/>
          <w:sz w:val="21"/>
          <w:szCs w:val="21"/>
        </w:rPr>
        <w:t>年</w:t>
      </w:r>
      <w:r w:rsidRPr="00F50B51">
        <w:rPr>
          <w:rFonts w:ascii="Times New Roman" w:hAnsi="Times New Roman" w:cs="Times New Roman"/>
          <w:sz w:val="21"/>
          <w:szCs w:val="21"/>
        </w:rPr>
        <w:t>4</w:t>
      </w:r>
      <w:r w:rsidRPr="00F50B51">
        <w:rPr>
          <w:rFonts w:cs="Times New Roman" w:hint="eastAsia"/>
          <w:sz w:val="21"/>
          <w:szCs w:val="21"/>
        </w:rPr>
        <w:t>月</w:t>
      </w:r>
      <w:r w:rsidRPr="00F50B51">
        <w:rPr>
          <w:rFonts w:ascii="Times New Roman" w:hAnsi="Times New Roman" w:cs="Times New Roman"/>
          <w:sz w:val="21"/>
          <w:szCs w:val="21"/>
        </w:rPr>
        <w:t>17</w:t>
      </w:r>
      <w:r w:rsidRPr="00F50B51">
        <w:rPr>
          <w:rFonts w:cs="Times New Roman" w:hint="eastAsia"/>
          <w:sz w:val="21"/>
          <w:szCs w:val="21"/>
        </w:rPr>
        <w:t>日。经中国证券监督管理委员会以“证监许可</w:t>
      </w:r>
      <w:r w:rsidRPr="00F50B51">
        <w:rPr>
          <w:rFonts w:ascii="Times New Roman" w:hAnsi="Times New Roman" w:cs="Times New Roman"/>
          <w:sz w:val="21"/>
          <w:szCs w:val="21"/>
        </w:rPr>
        <w:t>[2016]3106</w:t>
      </w:r>
      <w:r w:rsidRPr="00F50B51">
        <w:rPr>
          <w:rFonts w:cs="Times New Roman" w:hint="eastAsia"/>
          <w:sz w:val="21"/>
          <w:szCs w:val="21"/>
        </w:rPr>
        <w:t>号”文核准向社会公众公开发行人民币普通股（</w:t>
      </w:r>
      <w:r w:rsidRPr="00F50B51">
        <w:rPr>
          <w:rFonts w:ascii="Times New Roman" w:hAnsi="Times New Roman" w:cs="Times New Roman"/>
          <w:sz w:val="21"/>
          <w:szCs w:val="21"/>
        </w:rPr>
        <w:t xml:space="preserve">A </w:t>
      </w:r>
      <w:r w:rsidRPr="00F50B51">
        <w:rPr>
          <w:rFonts w:cs="Times New Roman" w:hint="eastAsia"/>
          <w:sz w:val="21"/>
          <w:szCs w:val="21"/>
        </w:rPr>
        <w:t>股）股票</w:t>
      </w:r>
      <w:r w:rsidRPr="00F50B51">
        <w:rPr>
          <w:rFonts w:ascii="Times New Roman" w:hAnsi="Times New Roman" w:cs="Times New Roman"/>
          <w:sz w:val="21"/>
          <w:szCs w:val="21"/>
        </w:rPr>
        <w:t>2,500</w:t>
      </w:r>
      <w:r w:rsidRPr="00F50B51">
        <w:rPr>
          <w:rFonts w:cs="Times New Roman" w:hint="eastAsia"/>
          <w:sz w:val="21"/>
          <w:szCs w:val="21"/>
        </w:rPr>
        <w:t>万股，并于</w:t>
      </w:r>
      <w:r w:rsidRPr="00F50B51">
        <w:rPr>
          <w:rFonts w:ascii="Times New Roman" w:hAnsi="Times New Roman" w:cs="Times New Roman"/>
          <w:sz w:val="21"/>
          <w:szCs w:val="21"/>
        </w:rPr>
        <w:t>2017</w:t>
      </w:r>
      <w:r w:rsidRPr="00F50B51">
        <w:rPr>
          <w:rFonts w:cs="Times New Roman" w:hint="eastAsia"/>
          <w:sz w:val="21"/>
          <w:szCs w:val="21"/>
        </w:rPr>
        <w:t>年</w:t>
      </w:r>
      <w:r w:rsidRPr="00F50B51">
        <w:rPr>
          <w:rFonts w:ascii="Times New Roman" w:hAnsi="Times New Roman" w:cs="Times New Roman"/>
          <w:sz w:val="21"/>
          <w:szCs w:val="21"/>
        </w:rPr>
        <w:t>1</w:t>
      </w:r>
      <w:r w:rsidRPr="00F50B51">
        <w:rPr>
          <w:rFonts w:cs="Times New Roman" w:hint="eastAsia"/>
          <w:sz w:val="21"/>
          <w:szCs w:val="21"/>
        </w:rPr>
        <w:t>月</w:t>
      </w:r>
      <w:r w:rsidRPr="00F50B51">
        <w:rPr>
          <w:rFonts w:ascii="Times New Roman" w:hAnsi="Times New Roman" w:cs="Times New Roman"/>
          <w:sz w:val="21"/>
          <w:szCs w:val="21"/>
        </w:rPr>
        <w:t>19</w:t>
      </w:r>
      <w:r w:rsidRPr="00F50B51">
        <w:rPr>
          <w:rFonts w:cs="Times New Roman" w:hint="eastAsia"/>
          <w:sz w:val="21"/>
          <w:szCs w:val="21"/>
        </w:rPr>
        <w:t>日在深圳证券交易所中小板上市交易，股票代码</w:t>
      </w:r>
      <w:r w:rsidRPr="00F50B51">
        <w:rPr>
          <w:rFonts w:ascii="Times New Roman" w:hAnsi="Times New Roman" w:cs="Times New Roman"/>
          <w:sz w:val="21"/>
          <w:szCs w:val="21"/>
        </w:rPr>
        <w:t>002842</w:t>
      </w:r>
      <w:r w:rsidRPr="00F50B51">
        <w:rPr>
          <w:rFonts w:cs="Times New Roman" w:hint="eastAsia"/>
          <w:sz w:val="21"/>
          <w:szCs w:val="21"/>
        </w:rPr>
        <w:t>，统一社会信用代码：</w:t>
      </w:r>
      <w:r w:rsidRPr="00F50B51">
        <w:rPr>
          <w:rFonts w:ascii="Times New Roman" w:hAnsi="Times New Roman" w:cs="Times New Roman"/>
          <w:sz w:val="21"/>
          <w:szCs w:val="21"/>
        </w:rPr>
        <w:t>914451002823643033</w:t>
      </w:r>
      <w:r w:rsidRPr="00F50B51">
        <w:rPr>
          <w:rFonts w:cs="Times New Roman" w:hint="eastAsia"/>
          <w:sz w:val="21"/>
          <w:szCs w:val="21"/>
        </w:rPr>
        <w:t>，注册地址：广东省潮州市湘桥区官塘镇庵头工业区，注册资本</w:t>
      </w:r>
      <w:r w:rsidRPr="00F50B51">
        <w:rPr>
          <w:rFonts w:ascii="Times New Roman" w:hAnsi="Times New Roman" w:cs="Times New Roman"/>
          <w:sz w:val="21"/>
          <w:szCs w:val="21"/>
        </w:rPr>
        <w:t>273,639,678.00</w:t>
      </w:r>
      <w:r w:rsidRPr="00F50B51">
        <w:rPr>
          <w:rFonts w:cs="Times New Roman" w:hint="eastAsia"/>
          <w:sz w:val="21"/>
          <w:szCs w:val="21"/>
        </w:rPr>
        <w:t>元，公司类型：股份有限公司。公司总部办公地址：广东省潮州市湘</w:t>
      </w:r>
      <w:r w:rsidRPr="00F50B51">
        <w:rPr>
          <w:rFonts w:cs="Times New Roman" w:hint="eastAsia"/>
          <w:sz w:val="21"/>
          <w:szCs w:val="21"/>
        </w:rPr>
        <w:t>桥区官塘镇庵头工业区。</w:t>
      </w:r>
    </w:p>
    <w:p w:rsidR="0058782B" w:rsidRPr="00F50B51" w:rsidRDefault="00F80EE7">
      <w:pPr>
        <w:pStyle w:val="a7"/>
        <w:spacing w:before="240" w:beforeAutospacing="0" w:after="0" w:afterAutospacing="0" w:line="380" w:lineRule="atLeast"/>
        <w:ind w:right="102" w:firstLine="424"/>
        <w:jc w:val="both"/>
        <w:rPr>
          <w:rFonts w:ascii="Times New Roman" w:hAnsi="Times New Roman" w:cs="Times New Roman"/>
          <w:sz w:val="21"/>
          <w:szCs w:val="21"/>
        </w:rPr>
      </w:pPr>
      <w:r w:rsidRPr="00F50B51">
        <w:rPr>
          <w:rFonts w:cs="Times New Roman" w:hint="eastAsia"/>
          <w:sz w:val="21"/>
          <w:szCs w:val="21"/>
        </w:rPr>
        <w:t>公司所属行业：有色金属冶炼和压延加工业。经营范围：加工、销售：钨精矿、钨制品、硬质合金及钨深加工产品；货物或技术进出口（国家禁止或涉及行政审批的货物和技术进出口除外）。（依法须经批准的项目，经相关部门批准后方可开展经营活动）。公司主要产品和业务包括各种规格的氧化钨、钨粉、碳化钨粉、钨合金粉末、钨硬质合金及合金刀具等。</w:t>
      </w:r>
    </w:p>
    <w:p w:rsidR="0058782B" w:rsidRPr="00F50B51" w:rsidRDefault="00F80EE7">
      <w:pPr>
        <w:pStyle w:val="a7"/>
        <w:spacing w:before="240" w:beforeAutospacing="0" w:after="0" w:afterAutospacing="0" w:line="380" w:lineRule="atLeast"/>
        <w:ind w:right="102" w:firstLine="424"/>
        <w:jc w:val="both"/>
        <w:rPr>
          <w:rFonts w:ascii="Times New Roman" w:hAnsi="Times New Roman" w:cs="Times New Roman"/>
          <w:sz w:val="21"/>
          <w:szCs w:val="21"/>
        </w:rPr>
      </w:pPr>
      <w:r w:rsidRPr="00F50B51">
        <w:rPr>
          <w:rFonts w:cs="Times New Roman" w:hint="eastAsia"/>
          <w:sz w:val="21"/>
          <w:szCs w:val="21"/>
        </w:rPr>
        <w:t>本财务报告业经公司董事会于</w:t>
      </w:r>
      <w:r w:rsidRPr="00F50B51">
        <w:rPr>
          <w:rFonts w:ascii="Times New Roman" w:hAnsi="Times New Roman" w:cs="Times New Roman"/>
          <w:sz w:val="21"/>
          <w:szCs w:val="21"/>
          <w:shd w:val="clear" w:color="auto" w:fill="FFFFFF"/>
        </w:rPr>
        <w:t>2022</w:t>
      </w:r>
      <w:r w:rsidRPr="00F50B51">
        <w:rPr>
          <w:rFonts w:cs="Times New Roman" w:hint="eastAsia"/>
          <w:sz w:val="21"/>
          <w:szCs w:val="21"/>
          <w:shd w:val="clear" w:color="auto" w:fill="FFFFFF"/>
        </w:rPr>
        <w:t>年</w:t>
      </w:r>
      <w:r w:rsidRPr="00F50B51">
        <w:rPr>
          <w:rFonts w:ascii="Times New Roman" w:hAnsi="Times New Roman" w:cs="Times New Roman"/>
          <w:sz w:val="21"/>
          <w:szCs w:val="21"/>
          <w:shd w:val="clear" w:color="auto" w:fill="FFFFFF"/>
        </w:rPr>
        <w:t>8</w:t>
      </w:r>
      <w:r w:rsidRPr="00F50B51">
        <w:rPr>
          <w:rFonts w:cs="Times New Roman" w:hint="eastAsia"/>
          <w:sz w:val="21"/>
          <w:szCs w:val="21"/>
          <w:shd w:val="clear" w:color="auto" w:fill="FFFFFF"/>
        </w:rPr>
        <w:t>月</w:t>
      </w:r>
      <w:r w:rsidRPr="00F50B51">
        <w:rPr>
          <w:rFonts w:ascii="Times New Roman" w:hAnsi="Times New Roman" w:cs="Times New Roman"/>
          <w:sz w:val="21"/>
          <w:szCs w:val="21"/>
          <w:shd w:val="clear" w:color="auto" w:fill="FFFFFF"/>
        </w:rPr>
        <w:t>23</w:t>
      </w:r>
      <w:r w:rsidRPr="00F50B51">
        <w:rPr>
          <w:rFonts w:cs="Times New Roman" w:hint="eastAsia"/>
          <w:sz w:val="21"/>
          <w:szCs w:val="21"/>
          <w:shd w:val="clear" w:color="auto" w:fill="FFFFFF"/>
        </w:rPr>
        <w:t>日</w:t>
      </w:r>
      <w:r w:rsidRPr="00F50B51">
        <w:rPr>
          <w:rFonts w:cs="Times New Roman" w:hint="eastAsia"/>
          <w:sz w:val="21"/>
          <w:szCs w:val="21"/>
        </w:rPr>
        <w:t>批准对外报出。</w:t>
      </w:r>
    </w:p>
    <w:tbl>
      <w:tblPr>
        <w:tblW w:w="4698" w:type="pct"/>
        <w:jc w:val="center"/>
        <w:tblCellMar>
          <w:top w:w="15" w:type="dxa"/>
          <w:left w:w="15" w:type="dxa"/>
          <w:bottom w:w="15" w:type="dxa"/>
          <w:right w:w="15" w:type="dxa"/>
        </w:tblCellMar>
        <w:tblLook w:val="04A0"/>
      </w:tblPr>
      <w:tblGrid>
        <w:gridCol w:w="4892"/>
        <w:gridCol w:w="4366"/>
      </w:tblGrid>
      <w:tr w:rsidR="0058782B" w:rsidRPr="00F50B51">
        <w:trPr>
          <w:cantSplit/>
          <w:trHeight w:val="490"/>
          <w:jc w:val="center"/>
        </w:trPr>
        <w:tc>
          <w:tcPr>
            <w:tcW w:w="26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jc w:val="center"/>
              <w:rPr>
                <w:rFonts w:ascii="Times New Roman" w:hAnsi="Times New Roman" w:cs="Times New Roman"/>
                <w:sz w:val="21"/>
                <w:szCs w:val="21"/>
              </w:rPr>
            </w:pPr>
            <w:r w:rsidRPr="00F50B51">
              <w:rPr>
                <w:rFonts w:cs="Times New Roman" w:hint="eastAsia"/>
                <w:sz w:val="21"/>
                <w:szCs w:val="21"/>
              </w:rPr>
              <w:t>子</w:t>
            </w:r>
            <w:r w:rsidRPr="00F50B51">
              <w:rPr>
                <w:rFonts w:cs="Times New Roman" w:hint="eastAsia"/>
                <w:sz w:val="21"/>
                <w:szCs w:val="21"/>
              </w:rPr>
              <w:t xml:space="preserve"> </w:t>
            </w:r>
            <w:r w:rsidRPr="00F50B51">
              <w:rPr>
                <w:rFonts w:cs="Times New Roman" w:hint="eastAsia"/>
                <w:sz w:val="21"/>
                <w:szCs w:val="21"/>
              </w:rPr>
              <w:t>公</w:t>
            </w:r>
            <w:r w:rsidRPr="00F50B51">
              <w:rPr>
                <w:rFonts w:cs="Times New Roman" w:hint="eastAsia"/>
                <w:sz w:val="21"/>
                <w:szCs w:val="21"/>
              </w:rPr>
              <w:t xml:space="preserve"> </w:t>
            </w:r>
            <w:r w:rsidRPr="00F50B51">
              <w:rPr>
                <w:rFonts w:cs="Times New Roman" w:hint="eastAsia"/>
                <w:sz w:val="21"/>
                <w:szCs w:val="21"/>
              </w:rPr>
              <w:t>司</w:t>
            </w:r>
            <w:r w:rsidRPr="00F50B51">
              <w:rPr>
                <w:rFonts w:cs="Times New Roman" w:hint="eastAsia"/>
                <w:sz w:val="21"/>
                <w:szCs w:val="21"/>
              </w:rPr>
              <w:t xml:space="preserve"> </w:t>
            </w:r>
            <w:r w:rsidRPr="00F50B51">
              <w:rPr>
                <w:rFonts w:cs="Times New Roman" w:hint="eastAsia"/>
                <w:sz w:val="21"/>
                <w:szCs w:val="21"/>
              </w:rPr>
              <w:t>名</w:t>
            </w:r>
            <w:r w:rsidRPr="00F50B51">
              <w:rPr>
                <w:rFonts w:cs="Times New Roman" w:hint="eastAsia"/>
                <w:sz w:val="21"/>
                <w:szCs w:val="21"/>
              </w:rPr>
              <w:t xml:space="preserve"> </w:t>
            </w:r>
            <w:r w:rsidRPr="00F50B51">
              <w:rPr>
                <w:rFonts w:cs="Times New Roman" w:hint="eastAsia"/>
                <w:sz w:val="21"/>
                <w:szCs w:val="21"/>
              </w:rPr>
              <w:t>称</w:t>
            </w:r>
          </w:p>
        </w:tc>
        <w:tc>
          <w:tcPr>
            <w:tcW w:w="235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jc w:val="center"/>
              <w:rPr>
                <w:rFonts w:ascii="Times New Roman" w:hAnsi="Times New Roman" w:cs="Times New Roman"/>
                <w:sz w:val="21"/>
                <w:szCs w:val="21"/>
              </w:rPr>
            </w:pPr>
            <w:r w:rsidRPr="00F50B51">
              <w:rPr>
                <w:rFonts w:cs="Times New Roman" w:hint="eastAsia"/>
                <w:sz w:val="21"/>
                <w:szCs w:val="21"/>
              </w:rPr>
              <w:t>变</w:t>
            </w:r>
            <w:r w:rsidRPr="00F50B51">
              <w:rPr>
                <w:rFonts w:cs="Times New Roman" w:hint="eastAsia"/>
                <w:sz w:val="21"/>
                <w:szCs w:val="21"/>
              </w:rPr>
              <w:t xml:space="preserve"> </w:t>
            </w:r>
            <w:r w:rsidRPr="00F50B51">
              <w:rPr>
                <w:rFonts w:cs="Times New Roman" w:hint="eastAsia"/>
                <w:sz w:val="21"/>
                <w:szCs w:val="21"/>
              </w:rPr>
              <w:t>化</w:t>
            </w:r>
            <w:r w:rsidRPr="00F50B51">
              <w:rPr>
                <w:rFonts w:cs="Times New Roman" w:hint="eastAsia"/>
                <w:sz w:val="21"/>
                <w:szCs w:val="21"/>
              </w:rPr>
              <w:t xml:space="preserve"> </w:t>
            </w:r>
            <w:r w:rsidRPr="00F50B51">
              <w:rPr>
                <w:rFonts w:cs="Times New Roman" w:hint="eastAsia"/>
                <w:sz w:val="21"/>
                <w:szCs w:val="21"/>
              </w:rPr>
              <w:t>情</w:t>
            </w:r>
            <w:r w:rsidRPr="00F50B51">
              <w:rPr>
                <w:rFonts w:cs="Times New Roman" w:hint="eastAsia"/>
                <w:sz w:val="21"/>
                <w:szCs w:val="21"/>
              </w:rPr>
              <w:t xml:space="preserve"> </w:t>
            </w:r>
            <w:r w:rsidRPr="00F50B51">
              <w:rPr>
                <w:rFonts w:cs="Times New Roman" w:hint="eastAsia"/>
                <w:sz w:val="21"/>
                <w:szCs w:val="21"/>
              </w:rPr>
              <w:t>况</w:t>
            </w:r>
          </w:p>
        </w:tc>
      </w:tr>
      <w:tr w:rsidR="0058782B" w:rsidRPr="00F50B51">
        <w:trPr>
          <w:cantSplit/>
          <w:trHeight w:val="413"/>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jc w:val="both"/>
              <w:rPr>
                <w:rFonts w:ascii="Times New Roman" w:hAnsi="Times New Roman" w:cs="Times New Roman"/>
                <w:sz w:val="21"/>
                <w:szCs w:val="21"/>
              </w:rPr>
            </w:pPr>
            <w:r w:rsidRPr="00F50B51">
              <w:rPr>
                <w:rFonts w:cs="Times New Roman" w:hint="eastAsia"/>
                <w:sz w:val="21"/>
                <w:szCs w:val="21"/>
              </w:rPr>
              <w:t>广东翔鹭精密制造有限公司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jc w:val="center"/>
              <w:rPr>
                <w:rFonts w:ascii="Times New Roman" w:hAnsi="Times New Roman" w:cs="Times New Roman"/>
                <w:sz w:val="21"/>
                <w:szCs w:val="21"/>
              </w:rPr>
            </w:pPr>
            <w:r w:rsidRPr="00F50B51">
              <w:rPr>
                <w:rFonts w:cs="Times New Roman" w:hint="eastAsia"/>
                <w:sz w:val="21"/>
                <w:szCs w:val="21"/>
              </w:rPr>
              <w:t>无变化</w:t>
            </w:r>
          </w:p>
        </w:tc>
      </w:tr>
      <w:tr w:rsidR="0058782B" w:rsidRPr="00F50B51">
        <w:trPr>
          <w:cantSplit/>
          <w:trHeight w:val="413"/>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rPr>
                <w:rFonts w:ascii="Times New Roman" w:hAnsi="Times New Roman" w:cs="Times New Roman"/>
                <w:sz w:val="21"/>
                <w:szCs w:val="21"/>
              </w:rPr>
            </w:pPr>
            <w:r w:rsidRPr="00F50B51">
              <w:rPr>
                <w:rFonts w:cs="Times New Roman" w:hint="eastAsia"/>
                <w:sz w:val="21"/>
                <w:szCs w:val="21"/>
              </w:rPr>
              <w:t>东莞市翔鹭精密工具有限公司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jc w:val="center"/>
              <w:rPr>
                <w:rFonts w:ascii="Times New Roman" w:hAnsi="Times New Roman" w:cs="Times New Roman"/>
                <w:sz w:val="21"/>
                <w:szCs w:val="21"/>
              </w:rPr>
            </w:pPr>
            <w:r w:rsidRPr="00F50B51">
              <w:rPr>
                <w:rFonts w:cs="Times New Roman" w:hint="eastAsia"/>
                <w:sz w:val="21"/>
                <w:szCs w:val="21"/>
              </w:rPr>
              <w:t>无变化</w:t>
            </w:r>
          </w:p>
        </w:tc>
      </w:tr>
      <w:tr w:rsidR="0058782B" w:rsidRPr="00F50B51">
        <w:trPr>
          <w:cantSplit/>
          <w:trHeight w:val="394"/>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rPr>
                <w:rFonts w:ascii="Times New Roman" w:hAnsi="Times New Roman" w:cs="Times New Roman"/>
                <w:sz w:val="21"/>
                <w:szCs w:val="21"/>
              </w:rPr>
            </w:pPr>
            <w:r w:rsidRPr="00F50B51">
              <w:rPr>
                <w:rFonts w:cs="Times New Roman" w:hint="eastAsia"/>
                <w:sz w:val="21"/>
                <w:szCs w:val="21"/>
              </w:rPr>
              <w:t>江西翔鹭钨业有限公司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jc w:val="center"/>
              <w:rPr>
                <w:rFonts w:ascii="Times New Roman" w:hAnsi="Times New Roman" w:cs="Times New Roman"/>
                <w:sz w:val="21"/>
                <w:szCs w:val="21"/>
              </w:rPr>
            </w:pPr>
            <w:r w:rsidRPr="00F50B51">
              <w:rPr>
                <w:rFonts w:cs="Times New Roman" w:hint="eastAsia"/>
                <w:sz w:val="21"/>
                <w:szCs w:val="21"/>
              </w:rPr>
              <w:t>无变化</w:t>
            </w:r>
          </w:p>
        </w:tc>
      </w:tr>
      <w:tr w:rsidR="0058782B" w:rsidRPr="00F50B51">
        <w:trPr>
          <w:cantSplit/>
          <w:trHeight w:val="413"/>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rPr>
                <w:rFonts w:ascii="Times New Roman" w:hAnsi="Times New Roman" w:cs="Times New Roman"/>
                <w:sz w:val="21"/>
                <w:szCs w:val="21"/>
              </w:rPr>
            </w:pPr>
            <w:r w:rsidRPr="00F50B51">
              <w:rPr>
                <w:rFonts w:cs="Times New Roman" w:hint="eastAsia"/>
                <w:sz w:val="21"/>
                <w:szCs w:val="21"/>
              </w:rPr>
              <w:t>大余隆鑫泰金属材料有限公司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jc w:val="center"/>
              <w:rPr>
                <w:rFonts w:ascii="Times New Roman" w:hAnsi="Times New Roman" w:cs="Times New Roman"/>
                <w:sz w:val="21"/>
                <w:szCs w:val="21"/>
              </w:rPr>
            </w:pPr>
            <w:r w:rsidRPr="00F50B51">
              <w:rPr>
                <w:rFonts w:cs="Times New Roman" w:hint="eastAsia"/>
                <w:sz w:val="21"/>
                <w:szCs w:val="21"/>
              </w:rPr>
              <w:t>无变化</w:t>
            </w:r>
          </w:p>
        </w:tc>
      </w:tr>
      <w:tr w:rsidR="0058782B" w:rsidRPr="00F50B51">
        <w:trPr>
          <w:cantSplit/>
          <w:trHeight w:val="413"/>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rPr>
                <w:rFonts w:ascii="Times New Roman" w:hAnsi="Times New Roman" w:cs="Times New Roman"/>
                <w:sz w:val="21"/>
                <w:szCs w:val="21"/>
              </w:rPr>
            </w:pPr>
            <w:r w:rsidRPr="00F50B51">
              <w:rPr>
                <w:rFonts w:cs="Times New Roman" w:hint="eastAsia"/>
                <w:sz w:val="21"/>
                <w:szCs w:val="21"/>
              </w:rPr>
              <w:t>大余隆鑫泰矿业有限公司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jc w:val="center"/>
              <w:rPr>
                <w:rFonts w:ascii="Times New Roman" w:hAnsi="Times New Roman" w:cs="Times New Roman"/>
                <w:sz w:val="21"/>
                <w:szCs w:val="21"/>
              </w:rPr>
            </w:pPr>
            <w:r w:rsidRPr="00F50B51">
              <w:rPr>
                <w:rFonts w:cs="Times New Roman" w:hint="eastAsia"/>
                <w:sz w:val="21"/>
                <w:szCs w:val="21"/>
              </w:rPr>
              <w:t>无变化</w:t>
            </w:r>
          </w:p>
        </w:tc>
      </w:tr>
      <w:tr w:rsidR="0058782B" w:rsidRPr="00F50B51">
        <w:trPr>
          <w:cantSplit/>
          <w:trHeight w:val="413"/>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rPr>
                <w:rFonts w:ascii="Times New Roman" w:hAnsi="Times New Roman" w:cs="Times New Roman"/>
                <w:sz w:val="21"/>
                <w:szCs w:val="21"/>
              </w:rPr>
            </w:pPr>
            <w:r w:rsidRPr="00F50B51">
              <w:rPr>
                <w:rFonts w:cs="Times New Roman" w:hint="eastAsia"/>
                <w:sz w:val="21"/>
                <w:szCs w:val="21"/>
              </w:rPr>
              <w:t>大余县新城海德材料有限公司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jc w:val="center"/>
              <w:rPr>
                <w:rFonts w:ascii="Times New Roman" w:hAnsi="Times New Roman" w:cs="Times New Roman"/>
                <w:sz w:val="21"/>
                <w:szCs w:val="21"/>
              </w:rPr>
            </w:pPr>
            <w:r w:rsidRPr="00F50B51">
              <w:rPr>
                <w:rFonts w:cs="Times New Roman" w:hint="eastAsia"/>
                <w:sz w:val="21"/>
                <w:szCs w:val="21"/>
              </w:rPr>
              <w:t>无变化</w:t>
            </w:r>
          </w:p>
        </w:tc>
      </w:tr>
      <w:tr w:rsidR="0058782B" w:rsidRPr="00F50B51">
        <w:trPr>
          <w:cantSplit/>
          <w:trHeight w:val="413"/>
          <w:jc w:val="center"/>
        </w:trPr>
        <w:tc>
          <w:tcPr>
            <w:tcW w:w="26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rPr>
                <w:rFonts w:ascii="Times New Roman" w:hAnsi="Times New Roman" w:cs="Times New Roman"/>
                <w:sz w:val="21"/>
                <w:szCs w:val="21"/>
              </w:rPr>
            </w:pPr>
            <w:r w:rsidRPr="00F50B51">
              <w:rPr>
                <w:rFonts w:cs="Times New Roman" w:hint="eastAsia"/>
                <w:sz w:val="21"/>
                <w:szCs w:val="21"/>
              </w:rPr>
              <w:t>江西翔鹭精密制造有限公司</w:t>
            </w:r>
          </w:p>
        </w:tc>
        <w:tc>
          <w:tcPr>
            <w:tcW w:w="2358"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120" w:beforeAutospacing="0" w:after="120" w:afterAutospacing="0" w:line="240" w:lineRule="atLeast"/>
              <w:jc w:val="center"/>
              <w:rPr>
                <w:rFonts w:ascii="Times New Roman" w:hAnsi="Times New Roman" w:cs="Times New Roman"/>
                <w:sz w:val="21"/>
                <w:szCs w:val="21"/>
              </w:rPr>
            </w:pPr>
            <w:r w:rsidRPr="00F50B51">
              <w:rPr>
                <w:rFonts w:cs="Times New Roman" w:hint="eastAsia"/>
                <w:sz w:val="21"/>
                <w:szCs w:val="21"/>
              </w:rPr>
              <w:t>无变化</w:t>
            </w:r>
          </w:p>
        </w:tc>
      </w:tr>
    </w:tbl>
    <w:p w:rsidR="0058782B" w:rsidRPr="00F50B51" w:rsidRDefault="0058782B">
      <w:pPr>
        <w:rPr>
          <w:sz w:val="24"/>
          <w:szCs w:val="24"/>
        </w:rPr>
      </w:pPr>
    </w:p>
    <w:p w:rsidR="0058782B" w:rsidRPr="00F50B51" w:rsidRDefault="00F80EE7">
      <w:pPr>
        <w:pStyle w:val="2"/>
        <w:spacing w:before="300" w:after="300" w:line="320" w:lineRule="exact"/>
        <w:rPr>
          <w:rFonts w:ascii="宋体" w:eastAsia="宋体" w:hAnsi="宋体" w:cs="宋体"/>
          <w:b/>
          <w:bCs/>
          <w:sz w:val="24"/>
          <w:szCs w:val="24"/>
        </w:rPr>
      </w:pPr>
      <w:bookmarkStart w:id="116" w:name="_Toc989004"/>
      <w:r w:rsidRPr="00F50B51">
        <w:rPr>
          <w:rFonts w:ascii="宋体" w:eastAsia="宋体" w:hAnsi="宋体" w:cs="宋体"/>
          <w:b/>
          <w:bCs/>
          <w:sz w:val="24"/>
          <w:szCs w:val="24"/>
        </w:rPr>
        <w:t>四、财务报表的编制基础</w:t>
      </w:r>
      <w:bookmarkEnd w:id="116"/>
    </w:p>
    <w:p w:rsidR="0058782B" w:rsidRPr="00F50B51" w:rsidRDefault="00F80EE7">
      <w:pPr>
        <w:pStyle w:val="3"/>
        <w:spacing w:line="280" w:lineRule="exact"/>
        <w:jc w:val="left"/>
        <w:rPr>
          <w:rFonts w:ascii="宋体" w:hAnsi="宋体" w:cs="宋体"/>
          <w:b/>
          <w:bCs/>
        </w:rPr>
      </w:pPr>
      <w:bookmarkStart w:id="117" w:name="_Toc989005"/>
      <w:r w:rsidRPr="00F50B51">
        <w:rPr>
          <w:rFonts w:ascii="宋体" w:hAnsi="宋体" w:cs="宋体"/>
          <w:b/>
          <w:bCs/>
        </w:rPr>
        <w:t>1</w:t>
      </w:r>
      <w:r w:rsidRPr="00F50B51">
        <w:rPr>
          <w:rFonts w:ascii="宋体" w:hAnsi="宋体" w:cs="宋体"/>
          <w:b/>
          <w:bCs/>
        </w:rPr>
        <w:t>、编制基础</w:t>
      </w:r>
      <w:bookmarkEnd w:id="117"/>
    </w:p>
    <w:p w:rsidR="0058782B" w:rsidRPr="00F50B51" w:rsidRDefault="00F80EE7">
      <w:pPr>
        <w:pStyle w:val="a7"/>
        <w:spacing w:before="240" w:beforeAutospacing="0" w:after="0" w:afterAutospacing="0" w:line="380" w:lineRule="atLeast"/>
        <w:ind w:right="102" w:firstLine="424"/>
        <w:jc w:val="both"/>
        <w:rPr>
          <w:rFonts w:ascii="Times New Roman" w:hAnsi="Times New Roman" w:cs="Times New Roman"/>
          <w:sz w:val="21"/>
          <w:szCs w:val="21"/>
        </w:rPr>
      </w:pPr>
      <w:r w:rsidRPr="00F50B51">
        <w:rPr>
          <w:rFonts w:cs="Times New Roman" w:hint="eastAsia"/>
          <w:sz w:val="21"/>
          <w:szCs w:val="21"/>
        </w:rPr>
        <w:t>公司以持续经营为基础，根据实际发生的交易和事项，按照财政部颁布的《企业会计准则</w:t>
      </w:r>
      <w:r w:rsidRPr="00F50B51">
        <w:rPr>
          <w:rFonts w:ascii="Times New Roman" w:hAnsi="Times New Roman" w:cs="Times New Roman"/>
          <w:sz w:val="21"/>
          <w:szCs w:val="21"/>
        </w:rPr>
        <w:t>—</w:t>
      </w:r>
      <w:r w:rsidRPr="00F50B51">
        <w:rPr>
          <w:rFonts w:cs="Times New Roman" w:hint="eastAsia"/>
          <w:sz w:val="21"/>
          <w:szCs w:val="21"/>
        </w:rPr>
        <w:t>基本准则》和各项具体会计准则、企业会计准则应用指南、企业会计准则解释及其他相关规定，以及中国证券监督管理委员会《公开发行证券的公司信息披露编报规则第</w:t>
      </w:r>
      <w:r w:rsidRPr="00F50B51">
        <w:rPr>
          <w:rFonts w:ascii="Times New Roman" w:hAnsi="Times New Roman" w:cs="Times New Roman"/>
          <w:sz w:val="21"/>
          <w:szCs w:val="21"/>
        </w:rPr>
        <w:t xml:space="preserve">15 </w:t>
      </w:r>
      <w:r w:rsidRPr="00F50B51">
        <w:rPr>
          <w:rFonts w:cs="Times New Roman" w:hint="eastAsia"/>
          <w:sz w:val="21"/>
          <w:szCs w:val="21"/>
        </w:rPr>
        <w:t>号</w:t>
      </w:r>
      <w:r w:rsidRPr="00F50B51">
        <w:rPr>
          <w:rFonts w:ascii="Times New Roman" w:hAnsi="Times New Roman" w:cs="Times New Roman"/>
          <w:sz w:val="21"/>
          <w:szCs w:val="21"/>
        </w:rPr>
        <w:t>—</w:t>
      </w:r>
      <w:r w:rsidRPr="00F50B51">
        <w:rPr>
          <w:rFonts w:cs="Times New Roman" w:hint="eastAsia"/>
          <w:sz w:val="21"/>
          <w:szCs w:val="21"/>
        </w:rPr>
        <w:t>财务报告的一般规定》的披露规定编制财务报表。</w:t>
      </w:r>
    </w:p>
    <w:p w:rsidR="0058782B" w:rsidRPr="00F50B51" w:rsidRDefault="00F80EE7">
      <w:pPr>
        <w:pStyle w:val="3"/>
        <w:spacing w:line="280" w:lineRule="exact"/>
        <w:jc w:val="left"/>
        <w:rPr>
          <w:rFonts w:ascii="宋体" w:hAnsi="宋体" w:cs="宋体"/>
          <w:b/>
          <w:bCs/>
        </w:rPr>
      </w:pPr>
      <w:bookmarkStart w:id="118" w:name="_Toc989006"/>
      <w:r w:rsidRPr="00F50B51">
        <w:rPr>
          <w:rFonts w:ascii="宋体" w:hAnsi="宋体" w:cs="宋体"/>
          <w:b/>
          <w:bCs/>
        </w:rPr>
        <w:t>2</w:t>
      </w:r>
      <w:r w:rsidRPr="00F50B51">
        <w:rPr>
          <w:rFonts w:ascii="宋体" w:hAnsi="宋体" w:cs="宋体"/>
          <w:b/>
          <w:bCs/>
        </w:rPr>
        <w:t>、持续经营</w:t>
      </w:r>
      <w:bookmarkEnd w:id="118"/>
    </w:p>
    <w:p w:rsidR="0058782B" w:rsidRPr="00F50B51" w:rsidRDefault="00F80EE7">
      <w:pPr>
        <w:pStyle w:val="a7"/>
        <w:spacing w:before="240" w:beforeAutospacing="0" w:after="0" w:afterAutospacing="0" w:line="380" w:lineRule="atLeast"/>
        <w:ind w:right="102" w:firstLine="424"/>
        <w:jc w:val="both"/>
        <w:rPr>
          <w:rFonts w:ascii="Times New Roman" w:hAnsi="Times New Roman" w:cs="Times New Roman"/>
          <w:sz w:val="21"/>
          <w:szCs w:val="21"/>
        </w:rPr>
      </w:pPr>
      <w:r w:rsidRPr="00F50B51">
        <w:rPr>
          <w:rFonts w:cs="Times New Roman" w:hint="eastAsia"/>
          <w:sz w:val="21"/>
          <w:szCs w:val="21"/>
        </w:rPr>
        <w:t>本公司承诺自报告期末起至少</w:t>
      </w:r>
      <w:r w:rsidRPr="00F50B51">
        <w:rPr>
          <w:rFonts w:ascii="Times New Roman" w:hAnsi="Times New Roman" w:cs="Times New Roman"/>
          <w:sz w:val="21"/>
          <w:szCs w:val="21"/>
        </w:rPr>
        <w:t>12</w:t>
      </w:r>
      <w:r w:rsidRPr="00F50B51">
        <w:rPr>
          <w:rFonts w:cs="Times New Roman" w:hint="eastAsia"/>
          <w:sz w:val="21"/>
          <w:szCs w:val="21"/>
        </w:rPr>
        <w:t>个月不存在影响公司持续经营的事项。</w:t>
      </w:r>
    </w:p>
    <w:p w:rsidR="0058782B" w:rsidRPr="00F50B51" w:rsidRDefault="00F80EE7">
      <w:pPr>
        <w:pStyle w:val="2"/>
        <w:spacing w:before="300" w:after="300" w:line="560" w:lineRule="exact"/>
        <w:rPr>
          <w:rFonts w:ascii="宋体" w:eastAsia="宋体" w:hAnsi="宋体" w:cs="宋体"/>
          <w:b/>
          <w:bCs/>
          <w:sz w:val="24"/>
          <w:szCs w:val="24"/>
        </w:rPr>
      </w:pPr>
      <w:bookmarkStart w:id="119" w:name="_Toc989007"/>
      <w:r w:rsidRPr="00F50B51">
        <w:rPr>
          <w:rFonts w:ascii="宋体" w:eastAsia="宋体" w:hAnsi="宋体" w:cs="宋体"/>
          <w:b/>
          <w:bCs/>
          <w:sz w:val="24"/>
          <w:szCs w:val="24"/>
        </w:rPr>
        <w:t>五、重要会计政策及会计估计</w:t>
      </w:r>
      <w:bookmarkEnd w:id="119"/>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具体会计政策和会计估计提示：</w:t>
      </w:r>
    </w:p>
    <w:p w:rsidR="0058782B" w:rsidRPr="00F50B51" w:rsidRDefault="00F80EE7">
      <w:pPr>
        <w:pStyle w:val="a7"/>
        <w:spacing w:before="240" w:beforeAutospacing="0" w:after="0" w:afterAutospacing="0" w:line="380" w:lineRule="atLeast"/>
        <w:ind w:right="102" w:firstLine="424"/>
        <w:jc w:val="both"/>
        <w:rPr>
          <w:rFonts w:ascii="Times New Roman" w:hAnsi="Times New Roman" w:cs="Times New Roman"/>
          <w:sz w:val="21"/>
          <w:szCs w:val="21"/>
        </w:rPr>
      </w:pPr>
      <w:r w:rsidRPr="00F50B51">
        <w:rPr>
          <w:rFonts w:cs="Times New Roman" w:hint="eastAsia"/>
          <w:sz w:val="21"/>
          <w:szCs w:val="21"/>
        </w:rPr>
        <w:t>公司根据实际生产经营特点针对应收款项坏账准备计提、固定资产折旧、无形资产摊销、长期待摊费用摊销、收入确认等交易或事项制定了具体会计政策和会计估计。</w:t>
      </w:r>
    </w:p>
    <w:p w:rsidR="0058782B" w:rsidRPr="00F50B51" w:rsidRDefault="00F80EE7">
      <w:pPr>
        <w:pStyle w:val="3"/>
        <w:spacing w:line="280" w:lineRule="exact"/>
        <w:jc w:val="left"/>
        <w:rPr>
          <w:rFonts w:ascii="宋体" w:hAnsi="宋体" w:cs="宋体"/>
          <w:b/>
          <w:bCs/>
        </w:rPr>
      </w:pPr>
      <w:bookmarkStart w:id="120" w:name="_Toc989008"/>
      <w:r w:rsidRPr="00F50B51">
        <w:rPr>
          <w:rFonts w:ascii="宋体" w:hAnsi="宋体" w:cs="宋体"/>
          <w:b/>
          <w:bCs/>
        </w:rPr>
        <w:t>1</w:t>
      </w:r>
      <w:r w:rsidRPr="00F50B51">
        <w:rPr>
          <w:rFonts w:ascii="宋体" w:hAnsi="宋体" w:cs="宋体"/>
          <w:b/>
          <w:bCs/>
        </w:rPr>
        <w:t>、遵循企业会计准则的声明</w:t>
      </w:r>
      <w:bookmarkEnd w:id="120"/>
    </w:p>
    <w:p w:rsidR="0058782B" w:rsidRPr="00F50B51" w:rsidRDefault="00F80EE7">
      <w:pPr>
        <w:pStyle w:val="15"/>
        <w:spacing w:before="120" w:beforeAutospacing="0" w:line="440" w:lineRule="atLeast"/>
        <w:ind w:firstLine="420"/>
        <w:rPr>
          <w:sz w:val="18"/>
          <w:szCs w:val="18"/>
        </w:rPr>
      </w:pPr>
      <w:r w:rsidRPr="00F50B51">
        <w:rPr>
          <w:rFonts w:hint="eastAsia"/>
          <w:sz w:val="21"/>
          <w:szCs w:val="21"/>
        </w:rPr>
        <w:t>公司承诺编制的</w:t>
      </w:r>
      <w:r w:rsidRPr="00F50B51">
        <w:rPr>
          <w:rFonts w:cs="Times New Roman" w:hint="eastAsia"/>
          <w:sz w:val="21"/>
          <w:szCs w:val="21"/>
        </w:rPr>
        <w:t>财务报表符合《企业会计准则》的要求，真实、完整地反映了本公司的财务状况、经营成果和现金流量等有关信息。</w:t>
      </w:r>
    </w:p>
    <w:p w:rsidR="0058782B" w:rsidRPr="00F50B51" w:rsidRDefault="00F80EE7">
      <w:pPr>
        <w:pStyle w:val="3"/>
        <w:spacing w:line="280" w:lineRule="exact"/>
        <w:jc w:val="left"/>
        <w:rPr>
          <w:rFonts w:ascii="宋体" w:hAnsi="宋体" w:cs="宋体"/>
          <w:b/>
          <w:bCs/>
        </w:rPr>
      </w:pPr>
      <w:bookmarkStart w:id="121" w:name="_Toc989009"/>
      <w:r w:rsidRPr="00F50B51">
        <w:rPr>
          <w:rFonts w:ascii="宋体" w:hAnsi="宋体" w:cs="宋体"/>
          <w:b/>
          <w:bCs/>
        </w:rPr>
        <w:t>2</w:t>
      </w:r>
      <w:r w:rsidRPr="00F50B51">
        <w:rPr>
          <w:rFonts w:ascii="宋体" w:hAnsi="宋体" w:cs="宋体"/>
          <w:b/>
          <w:bCs/>
        </w:rPr>
        <w:t>、会计期间</w:t>
      </w:r>
      <w:bookmarkEnd w:id="121"/>
    </w:p>
    <w:p w:rsidR="0058782B" w:rsidRPr="00F50B51" w:rsidRDefault="00F80EE7">
      <w:pPr>
        <w:pStyle w:val="a7"/>
        <w:spacing w:before="120" w:beforeAutospacing="0" w:after="0" w:afterAutospacing="0" w:line="440" w:lineRule="atLeast"/>
        <w:ind w:firstLine="420"/>
        <w:jc w:val="both"/>
        <w:rPr>
          <w:sz w:val="21"/>
          <w:szCs w:val="21"/>
        </w:rPr>
      </w:pPr>
      <w:r w:rsidRPr="00F50B51">
        <w:rPr>
          <w:rFonts w:hint="eastAsia"/>
          <w:sz w:val="21"/>
          <w:szCs w:val="21"/>
        </w:rPr>
        <w:t>自公历每年</w:t>
      </w:r>
      <w:r w:rsidRPr="00F50B51">
        <w:rPr>
          <w:rFonts w:ascii="Times New Roman" w:hAnsi="Times New Roman" w:cs="Times New Roman"/>
          <w:sz w:val="21"/>
          <w:szCs w:val="21"/>
        </w:rPr>
        <w:t>1</w:t>
      </w:r>
      <w:r w:rsidRPr="00F50B51">
        <w:rPr>
          <w:rFonts w:hint="eastAsia"/>
          <w:sz w:val="21"/>
          <w:szCs w:val="21"/>
        </w:rPr>
        <w:t>月</w:t>
      </w:r>
      <w:r w:rsidRPr="00F50B51">
        <w:rPr>
          <w:rFonts w:ascii="Times New Roman" w:hAnsi="Times New Roman" w:cs="Times New Roman"/>
          <w:sz w:val="21"/>
          <w:szCs w:val="21"/>
        </w:rPr>
        <w:t>1</w:t>
      </w:r>
      <w:r w:rsidRPr="00F50B51">
        <w:rPr>
          <w:rFonts w:hint="eastAsia"/>
          <w:sz w:val="21"/>
          <w:szCs w:val="21"/>
        </w:rPr>
        <w:t>日至</w:t>
      </w:r>
      <w:r w:rsidRPr="00F50B51">
        <w:rPr>
          <w:rFonts w:ascii="Times New Roman" w:hAnsi="Times New Roman" w:cs="Times New Roman"/>
          <w:sz w:val="21"/>
          <w:szCs w:val="21"/>
        </w:rPr>
        <w:t>12</w:t>
      </w:r>
      <w:r w:rsidRPr="00F50B51">
        <w:rPr>
          <w:rFonts w:hint="eastAsia"/>
          <w:sz w:val="21"/>
          <w:szCs w:val="21"/>
        </w:rPr>
        <w:t>月</w:t>
      </w:r>
      <w:r w:rsidRPr="00F50B51">
        <w:rPr>
          <w:rFonts w:ascii="Times New Roman" w:hAnsi="Times New Roman" w:cs="Times New Roman"/>
          <w:sz w:val="21"/>
          <w:szCs w:val="21"/>
        </w:rPr>
        <w:t>31</w:t>
      </w:r>
      <w:r w:rsidRPr="00F50B51">
        <w:rPr>
          <w:rFonts w:hint="eastAsia"/>
          <w:sz w:val="21"/>
          <w:szCs w:val="21"/>
        </w:rPr>
        <w:t>日止。</w:t>
      </w:r>
    </w:p>
    <w:p w:rsidR="0058782B" w:rsidRPr="00F50B51" w:rsidRDefault="00F80EE7">
      <w:pPr>
        <w:pStyle w:val="3"/>
        <w:spacing w:line="280" w:lineRule="exact"/>
        <w:jc w:val="left"/>
        <w:rPr>
          <w:rFonts w:ascii="宋体" w:hAnsi="宋体" w:cs="宋体"/>
          <w:b/>
          <w:bCs/>
        </w:rPr>
      </w:pPr>
      <w:bookmarkStart w:id="122" w:name="_Toc989010"/>
      <w:r w:rsidRPr="00F50B51">
        <w:rPr>
          <w:rFonts w:ascii="宋体" w:hAnsi="宋体" w:cs="宋体"/>
          <w:b/>
          <w:bCs/>
        </w:rPr>
        <w:t>3</w:t>
      </w:r>
      <w:r w:rsidRPr="00F50B51">
        <w:rPr>
          <w:rFonts w:ascii="宋体" w:hAnsi="宋体" w:cs="宋体"/>
          <w:b/>
          <w:bCs/>
        </w:rPr>
        <w:t>、营业周期</w:t>
      </w:r>
      <w:bookmarkEnd w:id="122"/>
    </w:p>
    <w:p w:rsidR="0058782B" w:rsidRPr="00F50B51" w:rsidRDefault="00F80EE7">
      <w:pPr>
        <w:pStyle w:val="a7"/>
        <w:spacing w:before="120" w:beforeAutospacing="0" w:after="0" w:afterAutospacing="0" w:line="460" w:lineRule="atLeast"/>
        <w:ind w:firstLine="420"/>
        <w:jc w:val="both"/>
        <w:rPr>
          <w:rFonts w:ascii="Times New Roman" w:hAnsi="Times New Roman" w:cs="Times New Roman"/>
          <w:sz w:val="21"/>
          <w:szCs w:val="21"/>
        </w:rPr>
      </w:pPr>
      <w:r w:rsidRPr="00F50B51">
        <w:rPr>
          <w:rFonts w:cs="Times New Roman" w:hint="eastAsia"/>
          <w:sz w:val="21"/>
          <w:szCs w:val="21"/>
        </w:rPr>
        <w:t>本公司营业周期</w:t>
      </w:r>
      <w:r w:rsidRPr="00F50B51">
        <w:rPr>
          <w:rFonts w:cs="Times New Roman" w:hint="eastAsia"/>
          <w:sz w:val="21"/>
          <w:szCs w:val="21"/>
        </w:rPr>
        <w:t>为</w:t>
      </w:r>
      <w:r w:rsidRPr="00F50B51">
        <w:rPr>
          <w:rFonts w:ascii="Times New Roman" w:hAnsi="Times New Roman" w:cs="Times New Roman"/>
          <w:sz w:val="21"/>
          <w:szCs w:val="21"/>
        </w:rPr>
        <w:t>12</w:t>
      </w:r>
      <w:r w:rsidRPr="00F50B51">
        <w:rPr>
          <w:rFonts w:cs="Times New Roman" w:hint="eastAsia"/>
          <w:sz w:val="21"/>
          <w:szCs w:val="21"/>
        </w:rPr>
        <w:t>个月。</w:t>
      </w:r>
    </w:p>
    <w:p w:rsidR="0058782B" w:rsidRPr="00F50B51" w:rsidRDefault="00F80EE7">
      <w:pPr>
        <w:pStyle w:val="3"/>
        <w:spacing w:line="280" w:lineRule="exact"/>
        <w:jc w:val="left"/>
        <w:rPr>
          <w:rFonts w:ascii="宋体" w:hAnsi="宋体" w:cs="宋体"/>
          <w:b/>
          <w:bCs/>
        </w:rPr>
      </w:pPr>
      <w:bookmarkStart w:id="123" w:name="_Toc989011"/>
      <w:r w:rsidRPr="00F50B51">
        <w:rPr>
          <w:rFonts w:ascii="宋体" w:hAnsi="宋体" w:cs="宋体"/>
          <w:b/>
          <w:bCs/>
        </w:rPr>
        <w:t>4</w:t>
      </w:r>
      <w:r w:rsidRPr="00F50B51">
        <w:rPr>
          <w:rFonts w:ascii="宋体" w:hAnsi="宋体" w:cs="宋体"/>
          <w:b/>
          <w:bCs/>
        </w:rPr>
        <w:t>、记账本位币</w:t>
      </w:r>
      <w:bookmarkEnd w:id="123"/>
    </w:p>
    <w:p w:rsidR="0058782B" w:rsidRPr="00F50B51" w:rsidRDefault="00F80EE7">
      <w:pPr>
        <w:pStyle w:val="a7"/>
        <w:spacing w:before="120" w:beforeAutospacing="0" w:after="0" w:afterAutospacing="0" w:line="440" w:lineRule="atLeast"/>
        <w:ind w:firstLine="420"/>
        <w:jc w:val="both"/>
        <w:rPr>
          <w:sz w:val="21"/>
          <w:szCs w:val="21"/>
        </w:rPr>
      </w:pPr>
      <w:r w:rsidRPr="00F50B51">
        <w:rPr>
          <w:rFonts w:cs="Times New Roman" w:hint="eastAsia"/>
          <w:sz w:val="21"/>
          <w:szCs w:val="21"/>
        </w:rPr>
        <w:t>公司以人民币为记账本位币。</w:t>
      </w:r>
    </w:p>
    <w:p w:rsidR="0058782B" w:rsidRPr="00F50B51" w:rsidRDefault="00F80EE7">
      <w:pPr>
        <w:pStyle w:val="3"/>
        <w:spacing w:line="280" w:lineRule="exact"/>
        <w:jc w:val="left"/>
        <w:rPr>
          <w:rFonts w:ascii="宋体" w:hAnsi="宋体" w:cs="宋体"/>
          <w:b/>
          <w:bCs/>
        </w:rPr>
      </w:pPr>
      <w:bookmarkStart w:id="124" w:name="_Toc989012"/>
      <w:r w:rsidRPr="00F50B51">
        <w:rPr>
          <w:rFonts w:ascii="宋体" w:hAnsi="宋体" w:cs="宋体"/>
          <w:b/>
          <w:bCs/>
        </w:rPr>
        <w:t>5</w:t>
      </w:r>
      <w:r w:rsidRPr="00F50B51">
        <w:rPr>
          <w:rFonts w:ascii="宋体" w:hAnsi="宋体" w:cs="宋体"/>
          <w:b/>
          <w:bCs/>
        </w:rPr>
        <w:t>、同一控制下和非同一控制下企业合并的会计处理方法</w:t>
      </w:r>
      <w:bookmarkEnd w:id="124"/>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）同一控制下的企业合并</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对于同一控制下的企业合并，公司在企业合并中取得的资产和负债，按照合并日最终控制方合并财务报表中的账面价值计量。公司取得的净资产账面价值与支付的合并对价账面价值（或发行股份面值总额）的差额，调整资本公积；资本公积不足冲减的，调整留存收益。</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）非同一控制下的企业合并</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对于非同一控制下的企业合并，合并成本为购买方在购买日为取得对被购买方的控制权而付出的资产、发生或承担的负债以及发行的权益性证券的公允价值。通过多次交换交易分步实现的企业合并，合并成本为每一单项交易成本之和。购买日是指公司实际取得对被购买方控制权的日期。公司对合并成本大于合并中取得的被购买方可辨认净资产公允价值份额的差额，确认为商誉。公司对合并成本小于合并中取得的被购买方可辨认净资产公允价值份额的，经复核后合并成本仍小于合并中取得的被购买方可辨认净资产公允价值份额的差额，计入当期损益。</w:t>
      </w:r>
    </w:p>
    <w:p w:rsidR="0058782B" w:rsidRPr="00F50B51" w:rsidRDefault="00F80EE7">
      <w:pPr>
        <w:pStyle w:val="3"/>
        <w:spacing w:line="280" w:lineRule="exact"/>
        <w:jc w:val="left"/>
        <w:rPr>
          <w:rFonts w:ascii="宋体" w:hAnsi="宋体" w:cs="宋体"/>
          <w:b/>
          <w:bCs/>
        </w:rPr>
      </w:pPr>
      <w:bookmarkStart w:id="125" w:name="_Toc989013"/>
      <w:r w:rsidRPr="00F50B51">
        <w:rPr>
          <w:rFonts w:ascii="宋体" w:hAnsi="宋体" w:cs="宋体"/>
          <w:b/>
          <w:bCs/>
        </w:rPr>
        <w:t>6</w:t>
      </w:r>
      <w:r w:rsidRPr="00F50B51">
        <w:rPr>
          <w:rFonts w:ascii="宋体" w:hAnsi="宋体" w:cs="宋体"/>
          <w:b/>
          <w:bCs/>
        </w:rPr>
        <w:t>、合并财务报表的编制</w:t>
      </w:r>
      <w:r w:rsidRPr="00F50B51">
        <w:rPr>
          <w:rFonts w:ascii="宋体" w:hAnsi="宋体" w:cs="宋体"/>
          <w:b/>
          <w:bCs/>
        </w:rPr>
        <w:t>方法</w:t>
      </w:r>
      <w:bookmarkEnd w:id="125"/>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）合并范围的确定原则</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以控制为基础确定合并财务报表的合并范围，母公司控制的特殊目的主体也纳入合并财务报表的合并范围。如果母公司是投资性主体，且不存在为其投资活动提供相关服务的子公司，则不应编制合并财务报表。</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）合并报表采用的会计方法</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编制合并报表时，在合并范围内所有重大内部交易和往来全部抵销的基础上逐项合并</w:t>
      </w:r>
      <w:r w:rsidRPr="00F50B51">
        <w:rPr>
          <w:rFonts w:ascii="Times New Roman" w:hAnsi="Times New Roman" w:cs="Times New Roman"/>
          <w:sz w:val="21"/>
          <w:szCs w:val="21"/>
        </w:rPr>
        <w:t>,</w:t>
      </w:r>
      <w:r w:rsidRPr="00F50B51">
        <w:rPr>
          <w:rFonts w:cs="Times New Roman" w:hint="eastAsia"/>
          <w:sz w:val="21"/>
          <w:szCs w:val="21"/>
        </w:rPr>
        <w:t>子公司的股东权益中不属于母公司所拥有的部分作为少数股东权益在合并财务报表中股东权益项下单独列示。</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子公司与公司采用的会计政策或会计期间不一致的，在编制合并财务报表时，按照公司的会计政策或会</w:t>
      </w:r>
      <w:r w:rsidRPr="00F50B51">
        <w:rPr>
          <w:rFonts w:cs="Times New Roman" w:hint="eastAsia"/>
          <w:sz w:val="21"/>
          <w:szCs w:val="21"/>
        </w:rPr>
        <w:t>计期间对子公司财务报表进行必要的调整。</w:t>
      </w:r>
    </w:p>
    <w:p w:rsidR="0058782B" w:rsidRPr="00F50B51" w:rsidRDefault="00F80EE7">
      <w:pPr>
        <w:pStyle w:val="a7"/>
        <w:spacing w:before="0" w:beforeAutospacing="0" w:after="0" w:afterAutospacing="0"/>
        <w:jc w:val="both"/>
        <w:rPr>
          <w:rFonts w:ascii="Times New Roman" w:hAnsi="Times New Roman" w:cs="Times New Roman"/>
          <w:sz w:val="21"/>
          <w:szCs w:val="21"/>
        </w:rPr>
      </w:pPr>
      <w:r w:rsidRPr="00F50B51">
        <w:rPr>
          <w:rFonts w:cs="Times New Roman" w:hint="eastAsia"/>
          <w:sz w:val="21"/>
          <w:szCs w:val="21"/>
        </w:rPr>
        <w:t>对于非同一控制下企业合并取得的子公司，在编制合并财务报表时，以购买日可辨认净资产公允价值为基础对其个别财务报表进行调整；对于同一控制下企业合并取得的子公司，视同该公司合并于合并当期的年初已经发生，从合并当期的年初起将其资产、负债、经营成果和现金流量纳入合并财务报表。</w:t>
      </w:r>
    </w:p>
    <w:p w:rsidR="0058782B" w:rsidRPr="00F50B51" w:rsidRDefault="00F80EE7">
      <w:pPr>
        <w:pStyle w:val="3"/>
        <w:spacing w:line="280" w:lineRule="exact"/>
        <w:jc w:val="left"/>
        <w:rPr>
          <w:rFonts w:ascii="宋体" w:hAnsi="宋体" w:cs="宋体"/>
          <w:b/>
          <w:bCs/>
        </w:rPr>
      </w:pPr>
      <w:bookmarkStart w:id="126" w:name="_Toc989014"/>
      <w:r w:rsidRPr="00F50B51">
        <w:rPr>
          <w:rFonts w:ascii="宋体" w:hAnsi="宋体" w:cs="宋体"/>
          <w:b/>
          <w:bCs/>
        </w:rPr>
        <w:t>7</w:t>
      </w:r>
      <w:r w:rsidRPr="00F50B51">
        <w:rPr>
          <w:rFonts w:ascii="宋体" w:hAnsi="宋体" w:cs="宋体"/>
          <w:b/>
          <w:bCs/>
        </w:rPr>
        <w:t>、合营安排分类及共同经营会计处理方法</w:t>
      </w:r>
      <w:bookmarkEnd w:id="126"/>
    </w:p>
    <w:p w:rsidR="0058782B" w:rsidRPr="00F50B51" w:rsidRDefault="00F80EE7">
      <w:pPr>
        <w:pStyle w:val="a7"/>
        <w:spacing w:before="120" w:beforeAutospacing="0" w:after="0" w:afterAutospacing="0" w:line="400" w:lineRule="atLeast"/>
        <w:ind w:firstLine="359"/>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）合营安排是指一项由两个或两个以上的参与方共同控制的安排，分为共同经营和合营企业。</w:t>
      </w:r>
    </w:p>
    <w:p w:rsidR="0058782B" w:rsidRPr="00F50B51" w:rsidRDefault="00F80EE7">
      <w:pPr>
        <w:pStyle w:val="a7"/>
        <w:spacing w:before="120" w:beforeAutospacing="0" w:after="0" w:afterAutospacing="0" w:line="400" w:lineRule="atLeast"/>
        <w:ind w:firstLine="359"/>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）当公司为共同经营的合营方时，确认与共同经营利益份额相关的下列项目：</w:t>
      </w:r>
    </w:p>
    <w:p w:rsidR="0058782B" w:rsidRPr="00F50B51" w:rsidRDefault="00F80EE7">
      <w:pPr>
        <w:pStyle w:val="a7"/>
        <w:spacing w:before="120" w:beforeAutospacing="0" w:after="0" w:afterAutospacing="0" w:line="400" w:lineRule="atLeast"/>
        <w:ind w:firstLine="359"/>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ascii="Times New Roman" w:hAnsi="Times New Roman" w:cs="Times New Roman"/>
          <w:sz w:val="21"/>
          <w:szCs w:val="21"/>
        </w:rPr>
        <w:t xml:space="preserve">. </w:t>
      </w:r>
      <w:r w:rsidRPr="00F50B51">
        <w:rPr>
          <w:rFonts w:cs="Times New Roman" w:hint="eastAsia"/>
          <w:sz w:val="21"/>
          <w:szCs w:val="21"/>
        </w:rPr>
        <w:t>确认单独所持有的资产，以及按持有份额确认共同持有的资产；</w:t>
      </w:r>
    </w:p>
    <w:p w:rsidR="0058782B" w:rsidRPr="00F50B51" w:rsidRDefault="00F80EE7">
      <w:pPr>
        <w:pStyle w:val="a7"/>
        <w:spacing w:before="120" w:beforeAutospacing="0" w:after="0" w:afterAutospacing="0" w:line="400" w:lineRule="atLeast"/>
        <w:ind w:firstLine="359"/>
        <w:jc w:val="both"/>
        <w:rPr>
          <w:rFonts w:ascii="Times New Roman" w:hAnsi="Times New Roman" w:cs="Times New Roman"/>
          <w:sz w:val="21"/>
          <w:szCs w:val="21"/>
        </w:rPr>
      </w:pPr>
      <w:r w:rsidRPr="00F50B51">
        <w:rPr>
          <w:rFonts w:ascii="Times New Roman" w:hAnsi="Times New Roman" w:cs="Times New Roman"/>
          <w:sz w:val="21"/>
          <w:szCs w:val="21"/>
        </w:rPr>
        <w:t xml:space="preserve">B. </w:t>
      </w:r>
      <w:r w:rsidRPr="00F50B51">
        <w:rPr>
          <w:rFonts w:cs="Times New Roman" w:hint="eastAsia"/>
          <w:sz w:val="21"/>
          <w:szCs w:val="21"/>
        </w:rPr>
        <w:t>确认单独所承担的负债，以及按持有份额确认共同承担的负债；</w:t>
      </w:r>
    </w:p>
    <w:p w:rsidR="0058782B" w:rsidRPr="00F50B51" w:rsidRDefault="00F80EE7">
      <w:pPr>
        <w:pStyle w:val="a7"/>
        <w:spacing w:before="120" w:beforeAutospacing="0" w:after="0" w:afterAutospacing="0" w:line="400" w:lineRule="atLeast"/>
        <w:ind w:firstLine="359"/>
        <w:jc w:val="both"/>
        <w:rPr>
          <w:rFonts w:ascii="Times New Roman" w:hAnsi="Times New Roman" w:cs="Times New Roman"/>
          <w:sz w:val="21"/>
          <w:szCs w:val="21"/>
        </w:rPr>
      </w:pPr>
      <w:r w:rsidRPr="00F50B51">
        <w:rPr>
          <w:rFonts w:ascii="Times New Roman" w:hAnsi="Times New Roman" w:cs="Times New Roman"/>
          <w:sz w:val="21"/>
          <w:szCs w:val="21"/>
        </w:rPr>
        <w:t xml:space="preserve">C. </w:t>
      </w:r>
      <w:r w:rsidRPr="00F50B51">
        <w:rPr>
          <w:rFonts w:cs="Times New Roman" w:hint="eastAsia"/>
          <w:sz w:val="21"/>
          <w:szCs w:val="21"/>
        </w:rPr>
        <w:t>确认出售公司享有的共同经营产出份额所产生的收入；</w:t>
      </w:r>
    </w:p>
    <w:p w:rsidR="0058782B" w:rsidRPr="00F50B51" w:rsidRDefault="00F80EE7">
      <w:pPr>
        <w:pStyle w:val="a7"/>
        <w:spacing w:before="120" w:beforeAutospacing="0" w:after="0" w:afterAutospacing="0" w:line="400" w:lineRule="atLeast"/>
        <w:ind w:firstLine="359"/>
        <w:jc w:val="both"/>
        <w:rPr>
          <w:rFonts w:ascii="Times New Roman" w:hAnsi="Times New Roman" w:cs="Times New Roman"/>
          <w:sz w:val="21"/>
          <w:szCs w:val="21"/>
        </w:rPr>
      </w:pPr>
      <w:r w:rsidRPr="00F50B51">
        <w:rPr>
          <w:rFonts w:ascii="Times New Roman" w:hAnsi="Times New Roman" w:cs="Times New Roman"/>
          <w:sz w:val="21"/>
          <w:szCs w:val="21"/>
        </w:rPr>
        <w:t xml:space="preserve">D. </w:t>
      </w:r>
      <w:r w:rsidRPr="00F50B51">
        <w:rPr>
          <w:rFonts w:cs="Times New Roman" w:hint="eastAsia"/>
          <w:sz w:val="21"/>
          <w:szCs w:val="21"/>
        </w:rPr>
        <w:t>按公司持有份额确认共同经营因出售资产所产生的收入；</w:t>
      </w:r>
    </w:p>
    <w:p w:rsidR="0058782B" w:rsidRPr="00F50B51" w:rsidRDefault="00F80EE7">
      <w:pPr>
        <w:pStyle w:val="a7"/>
        <w:spacing w:before="120" w:beforeAutospacing="0" w:after="0" w:afterAutospacing="0" w:line="400" w:lineRule="atLeast"/>
        <w:ind w:firstLine="359"/>
        <w:jc w:val="both"/>
        <w:rPr>
          <w:rFonts w:ascii="Times New Roman" w:hAnsi="Times New Roman" w:cs="Times New Roman"/>
          <w:sz w:val="21"/>
          <w:szCs w:val="21"/>
        </w:rPr>
      </w:pPr>
      <w:r w:rsidRPr="00F50B51">
        <w:rPr>
          <w:rFonts w:ascii="Times New Roman" w:hAnsi="Times New Roman" w:cs="Times New Roman"/>
          <w:sz w:val="21"/>
          <w:szCs w:val="21"/>
        </w:rPr>
        <w:t xml:space="preserve">E. </w:t>
      </w:r>
      <w:r w:rsidRPr="00F50B51">
        <w:rPr>
          <w:rFonts w:cs="Times New Roman" w:hint="eastAsia"/>
          <w:sz w:val="21"/>
          <w:szCs w:val="21"/>
        </w:rPr>
        <w:t>确认单独所发生的费用，以及按公司持有份额确认共同经营发生的费用。</w:t>
      </w:r>
    </w:p>
    <w:p w:rsidR="0058782B" w:rsidRPr="00F50B51" w:rsidRDefault="00F80EE7">
      <w:pPr>
        <w:pStyle w:val="a7"/>
        <w:spacing w:before="120" w:beforeAutospacing="0" w:after="0" w:afterAutospacing="0" w:line="400" w:lineRule="atLeast"/>
        <w:ind w:firstLine="359"/>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）当公司为合营企业的合营方时，将对合营企业的投资确认为长期股权投资，并按照本财务报表附注长期股权投资所述方法进行核算。</w:t>
      </w:r>
    </w:p>
    <w:p w:rsidR="0058782B" w:rsidRPr="00F50B51" w:rsidRDefault="00F80EE7">
      <w:pPr>
        <w:pStyle w:val="3"/>
        <w:spacing w:line="280" w:lineRule="exact"/>
        <w:jc w:val="left"/>
        <w:rPr>
          <w:rFonts w:ascii="宋体" w:hAnsi="宋体" w:cs="宋体"/>
          <w:b/>
          <w:bCs/>
        </w:rPr>
      </w:pPr>
      <w:bookmarkStart w:id="127" w:name="_Toc989015"/>
      <w:r w:rsidRPr="00F50B51">
        <w:rPr>
          <w:rFonts w:ascii="宋体" w:hAnsi="宋体" w:cs="宋体"/>
          <w:b/>
          <w:bCs/>
        </w:rPr>
        <w:t>8</w:t>
      </w:r>
      <w:r w:rsidRPr="00F50B51">
        <w:rPr>
          <w:rFonts w:ascii="宋体" w:hAnsi="宋体" w:cs="宋体"/>
          <w:b/>
          <w:bCs/>
        </w:rPr>
        <w:t>、现金及现金等价物的确定标准</w:t>
      </w:r>
      <w:bookmarkEnd w:id="127"/>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公司根据《企业会计准则</w:t>
      </w:r>
      <w:r w:rsidRPr="00F50B51">
        <w:rPr>
          <w:rFonts w:ascii="Times New Roman" w:hAnsi="Times New Roman" w:cs="Times New Roman"/>
          <w:sz w:val="21"/>
          <w:szCs w:val="21"/>
        </w:rPr>
        <w:t>——</w:t>
      </w:r>
      <w:r w:rsidRPr="00F50B51">
        <w:rPr>
          <w:rFonts w:cs="Times New Roman" w:hint="eastAsia"/>
          <w:sz w:val="21"/>
          <w:szCs w:val="21"/>
        </w:rPr>
        <w:t>现金流量表》的规定，对持有时间短（一般不超过</w:t>
      </w:r>
      <w:r w:rsidRPr="00F50B51">
        <w:rPr>
          <w:rFonts w:ascii="Times New Roman" w:hAnsi="Times New Roman" w:cs="Times New Roman"/>
          <w:sz w:val="21"/>
          <w:szCs w:val="21"/>
        </w:rPr>
        <w:t>3</w:t>
      </w:r>
      <w:r w:rsidRPr="00F50B51">
        <w:rPr>
          <w:rFonts w:cs="Times New Roman" w:hint="eastAsia"/>
          <w:sz w:val="21"/>
          <w:szCs w:val="21"/>
        </w:rPr>
        <w:t>个月）、流动性强、易于转换为已知金额现金、价值变动风险很小的投资，确认为现金等价物。</w:t>
      </w:r>
    </w:p>
    <w:p w:rsidR="0058782B" w:rsidRPr="00F50B51" w:rsidRDefault="00F80EE7">
      <w:pPr>
        <w:pStyle w:val="3"/>
        <w:spacing w:line="280" w:lineRule="exact"/>
        <w:jc w:val="left"/>
        <w:rPr>
          <w:rFonts w:ascii="宋体" w:hAnsi="宋体" w:cs="宋体"/>
          <w:b/>
          <w:bCs/>
        </w:rPr>
      </w:pPr>
      <w:bookmarkStart w:id="128" w:name="_Toc989016"/>
      <w:r w:rsidRPr="00F50B51">
        <w:rPr>
          <w:rFonts w:ascii="宋体" w:hAnsi="宋体" w:cs="宋体"/>
          <w:b/>
          <w:bCs/>
        </w:rPr>
        <w:t>9</w:t>
      </w:r>
      <w:r w:rsidRPr="00F50B51">
        <w:rPr>
          <w:rFonts w:ascii="宋体" w:hAnsi="宋体" w:cs="宋体"/>
          <w:b/>
          <w:bCs/>
        </w:rPr>
        <w:t>、外币业务和外币报表折算</w:t>
      </w:r>
      <w:bookmarkEnd w:id="128"/>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）外币交易</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对发生的非本位币经济业务公司按业务发生当日中国人民银行公布的市场汇价的中间价折合为本位币记账；月终对外币的货币项目余额按期末中国人民银行公布的市场汇价的中间价进行调整。按照期末汇率折合的记账本位币金额与账面记账本位币金额之间的差额作为“财务费用</w:t>
      </w:r>
      <w:r w:rsidRPr="00F50B51">
        <w:rPr>
          <w:rFonts w:ascii="Times New Roman" w:hAnsi="Times New Roman" w:cs="Times New Roman"/>
          <w:sz w:val="21"/>
          <w:szCs w:val="21"/>
        </w:rPr>
        <w:t>-</w:t>
      </w:r>
      <w:r w:rsidRPr="00F50B51">
        <w:rPr>
          <w:rFonts w:cs="Times New Roman" w:hint="eastAsia"/>
          <w:sz w:val="21"/>
          <w:szCs w:val="21"/>
        </w:rPr>
        <w:t>汇兑损益”计入当期损益；属于与购建固定资产有关的借款产生的汇兑损益，按照借款费用资本化的原则进行处理。</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）外币财务报表的折算方法</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公司境外经营子公司、合营企业、联营企业和分支机构采用与公司不同的记账本位币，在将公司境外经营通过合并报表、权益法核算等纳入到公司的财务报表中时，需要将境外经营的财务报表折算为以公司记账本位币反映。在对其进行折算前，公司调整境外经营的会计期间和会计政策，使之与公司会计期间和会计政策相一致，根据调整后会计政策及会计期间编制相应货币的财务报表，再按照以下方法对境外经营财务报表进行折</w:t>
      </w:r>
      <w:r w:rsidRPr="00F50B51">
        <w:rPr>
          <w:rFonts w:cs="Times New Roman" w:hint="eastAsia"/>
          <w:sz w:val="21"/>
          <w:szCs w:val="21"/>
        </w:rPr>
        <w:t>算：</w:t>
      </w:r>
    </w:p>
    <w:p w:rsidR="0058782B" w:rsidRPr="00F50B51" w:rsidRDefault="00F80EE7">
      <w:pPr>
        <w:widowControl/>
        <w:numPr>
          <w:ilvl w:val="0"/>
          <w:numId w:val="1"/>
        </w:numPr>
        <w:spacing w:before="100" w:beforeAutospacing="1" w:after="100" w:afterAutospacing="1"/>
        <w:rPr>
          <w:rFonts w:ascii="宋体" w:hAnsi="宋体" w:cs="宋体"/>
          <w:sz w:val="18"/>
          <w:szCs w:val="18"/>
        </w:rPr>
      </w:pPr>
      <w:r w:rsidRPr="00F50B51">
        <w:rPr>
          <w:rFonts w:hint="eastAsia"/>
          <w:sz w:val="18"/>
          <w:szCs w:val="18"/>
        </w:rPr>
        <w:t>、</w:t>
      </w:r>
      <w:r w:rsidRPr="00F50B51">
        <w:rPr>
          <w:rFonts w:hint="eastAsia"/>
          <w:sz w:val="18"/>
          <w:szCs w:val="18"/>
        </w:rPr>
        <w:t> </w:t>
      </w:r>
      <w:r w:rsidRPr="00F50B51">
        <w:rPr>
          <w:rFonts w:cs="Times New Roman" w:hint="eastAsia"/>
          <w:szCs w:val="21"/>
        </w:rPr>
        <w:t>资产负债表中的资产和负债项目，采用资产负债表日的即期汇率折算，所有者权益项目除</w:t>
      </w:r>
      <w:r w:rsidRPr="00F50B51">
        <w:rPr>
          <w:rFonts w:hint="eastAsia"/>
          <w:szCs w:val="21"/>
        </w:rPr>
        <w:t>“</w:t>
      </w:r>
      <w:r w:rsidRPr="00F50B51">
        <w:rPr>
          <w:rFonts w:cs="Times New Roman" w:hint="eastAsia"/>
          <w:szCs w:val="21"/>
        </w:rPr>
        <w:t>未分配利润</w:t>
      </w:r>
      <w:r w:rsidRPr="00F50B51">
        <w:rPr>
          <w:rFonts w:hint="eastAsia"/>
          <w:szCs w:val="21"/>
        </w:rPr>
        <w:t>”</w:t>
      </w:r>
      <w:r w:rsidRPr="00F50B51">
        <w:rPr>
          <w:rFonts w:cs="Times New Roman" w:hint="eastAsia"/>
          <w:szCs w:val="21"/>
        </w:rPr>
        <w:t>项目外，其他项目采用发生时的即期汇率折算。</w:t>
      </w:r>
    </w:p>
    <w:p w:rsidR="0058782B" w:rsidRPr="00F50B51" w:rsidRDefault="00F80EE7">
      <w:pPr>
        <w:widowControl/>
        <w:numPr>
          <w:ilvl w:val="0"/>
          <w:numId w:val="1"/>
        </w:numPr>
        <w:spacing w:before="100" w:beforeAutospacing="1" w:after="100" w:afterAutospacing="1"/>
        <w:rPr>
          <w:sz w:val="18"/>
          <w:szCs w:val="18"/>
        </w:rPr>
      </w:pPr>
      <w:r w:rsidRPr="00F50B51">
        <w:rPr>
          <w:rFonts w:hint="eastAsia"/>
          <w:sz w:val="18"/>
          <w:szCs w:val="18"/>
        </w:rPr>
        <w:t>、</w:t>
      </w:r>
      <w:r w:rsidRPr="00F50B51">
        <w:rPr>
          <w:rFonts w:hint="eastAsia"/>
          <w:sz w:val="18"/>
          <w:szCs w:val="18"/>
        </w:rPr>
        <w:t> </w:t>
      </w:r>
      <w:r w:rsidRPr="00F50B51">
        <w:rPr>
          <w:rFonts w:cs="Times New Roman" w:hint="eastAsia"/>
          <w:szCs w:val="21"/>
        </w:rPr>
        <w:t>利润表中的收入和费用项目，采用交易发生日的即期汇率或即期汇率的近似汇率折算。</w:t>
      </w:r>
    </w:p>
    <w:p w:rsidR="0058782B" w:rsidRPr="00F50B51" w:rsidRDefault="00F80EE7">
      <w:pPr>
        <w:widowControl/>
        <w:numPr>
          <w:ilvl w:val="0"/>
          <w:numId w:val="1"/>
        </w:numPr>
        <w:spacing w:before="100" w:beforeAutospacing="1" w:after="100" w:afterAutospacing="1"/>
        <w:rPr>
          <w:sz w:val="18"/>
          <w:szCs w:val="18"/>
        </w:rPr>
      </w:pPr>
      <w:r w:rsidRPr="00F50B51">
        <w:rPr>
          <w:rFonts w:hint="eastAsia"/>
          <w:sz w:val="18"/>
          <w:szCs w:val="18"/>
        </w:rPr>
        <w:t>、</w:t>
      </w:r>
      <w:r w:rsidRPr="00F50B51">
        <w:rPr>
          <w:rFonts w:hint="eastAsia"/>
          <w:sz w:val="18"/>
          <w:szCs w:val="18"/>
        </w:rPr>
        <w:t> </w:t>
      </w:r>
      <w:r w:rsidRPr="00F50B51">
        <w:rPr>
          <w:rFonts w:cs="Times New Roman" w:hint="eastAsia"/>
          <w:szCs w:val="21"/>
        </w:rPr>
        <w:t>产生的外币财务报表折算差额，在编制合并财务报表时，在合并资产负债表中所有者权益项目下在</w:t>
      </w:r>
      <w:r w:rsidRPr="00F50B51">
        <w:rPr>
          <w:rFonts w:hint="eastAsia"/>
          <w:szCs w:val="21"/>
        </w:rPr>
        <w:t>“</w:t>
      </w:r>
      <w:r w:rsidRPr="00F50B51">
        <w:rPr>
          <w:rFonts w:cs="Times New Roman" w:hint="eastAsia"/>
          <w:szCs w:val="21"/>
        </w:rPr>
        <w:t>其他综合收益</w:t>
      </w:r>
      <w:r w:rsidRPr="00F50B51">
        <w:rPr>
          <w:rFonts w:hint="eastAsia"/>
          <w:szCs w:val="21"/>
        </w:rPr>
        <w:t>”</w:t>
      </w:r>
      <w:r w:rsidRPr="00F50B51">
        <w:rPr>
          <w:rFonts w:cs="Times New Roman" w:hint="eastAsia"/>
          <w:szCs w:val="21"/>
        </w:rPr>
        <w:t>项目列示。</w:t>
      </w:r>
    </w:p>
    <w:p w:rsidR="0058782B" w:rsidRPr="00F50B51" w:rsidRDefault="00F80EE7">
      <w:pPr>
        <w:pStyle w:val="3"/>
        <w:spacing w:line="280" w:lineRule="exact"/>
        <w:jc w:val="left"/>
        <w:rPr>
          <w:rFonts w:ascii="宋体" w:hAnsi="宋体" w:cs="宋体"/>
          <w:b/>
          <w:bCs/>
        </w:rPr>
      </w:pPr>
      <w:bookmarkStart w:id="129" w:name="_Toc989017"/>
      <w:r w:rsidRPr="00F50B51">
        <w:rPr>
          <w:rFonts w:ascii="宋体" w:hAnsi="宋体" w:cs="宋体"/>
          <w:b/>
          <w:bCs/>
        </w:rPr>
        <w:t>10</w:t>
      </w:r>
      <w:r w:rsidRPr="00F50B51">
        <w:rPr>
          <w:rFonts w:ascii="宋体" w:hAnsi="宋体" w:cs="宋体"/>
          <w:b/>
          <w:bCs/>
        </w:rPr>
        <w:t>、金融工具</w:t>
      </w:r>
      <w:bookmarkEnd w:id="129"/>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金融工具，是指形成一方的金融资产并形成其他方的金融负债或权益工具的合同。当本集团成为金融工具合同的一方时，确认相关的金融资产或金融负债。</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）金融资</w:t>
      </w:r>
      <w:r w:rsidRPr="00F50B51">
        <w:rPr>
          <w:rFonts w:cs="Times New Roman" w:hint="eastAsia"/>
          <w:sz w:val="21"/>
          <w:szCs w:val="21"/>
        </w:rPr>
        <w:t>产</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分类和计量：根据管理金融资产的业务模式和金融资产的合同现金流量特征，将金融资产划分为：</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、以摊余成本计量的金融资产；</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、以公允价值计量且其变动计入其他综合收益的金融资产；</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ascii="Times New Roman" w:hAnsi="Times New Roman" w:cs="Times New Roman"/>
          <w:sz w:val="21"/>
          <w:szCs w:val="21"/>
        </w:rPr>
        <w:t>C</w:t>
      </w:r>
      <w:r w:rsidRPr="00F50B51">
        <w:rPr>
          <w:rFonts w:cs="Times New Roman" w:hint="eastAsia"/>
          <w:sz w:val="21"/>
          <w:szCs w:val="21"/>
        </w:rPr>
        <w:t>、以公允价值计量且其变动计入当期损益的金融资产。</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账款或应收票据，按照预期有权收取的对价金额作为初</w:t>
      </w:r>
      <w:r w:rsidRPr="00F50B51">
        <w:rPr>
          <w:rFonts w:cs="Times New Roman" w:hint="eastAsia"/>
          <w:sz w:val="21"/>
          <w:szCs w:val="21"/>
        </w:rPr>
        <w:t>始确认金额。</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）债务工具</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持有的债务工具是指从发行方角度分析符合金融负债定义的工具，分别采用以下三种方式进行计量：</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以摊余成本计量：管理此类金融资产的业务模式为以收取合同现金流量为目标，且此类金融资产的合同现金流量特征与基本借贷安排相一致，即在特定日期产生的现金流量，仅为对本金和以未偿付本金金额为基础的利息的支付。对于此类金融资产按照实际利率法确认利息收入。此类金融资产主要包括货币资金、应收票据、应收账款、其他应收款和债权投资等。将自资产负债表日起一年内</w:t>
      </w:r>
      <w:r w:rsidRPr="00F50B51">
        <w:rPr>
          <w:rFonts w:ascii="Times New Roman" w:hAnsi="Times New Roman" w:cs="Times New Roman"/>
          <w:sz w:val="21"/>
          <w:szCs w:val="21"/>
        </w:rPr>
        <w:t>(</w:t>
      </w:r>
      <w:r w:rsidRPr="00F50B51">
        <w:rPr>
          <w:rFonts w:cs="Times New Roman" w:hint="eastAsia"/>
          <w:sz w:val="21"/>
          <w:szCs w:val="21"/>
        </w:rPr>
        <w:t>含一年</w:t>
      </w:r>
      <w:r w:rsidRPr="00F50B51">
        <w:rPr>
          <w:rFonts w:ascii="Times New Roman" w:hAnsi="Times New Roman" w:cs="Times New Roman"/>
          <w:sz w:val="21"/>
          <w:szCs w:val="21"/>
        </w:rPr>
        <w:t>)</w:t>
      </w:r>
      <w:r w:rsidRPr="00F50B51">
        <w:rPr>
          <w:rFonts w:cs="Times New Roman" w:hint="eastAsia"/>
          <w:sz w:val="21"/>
          <w:szCs w:val="21"/>
        </w:rPr>
        <w:t>到期的债权投资，列示为一年内到期的非</w:t>
      </w:r>
      <w:r w:rsidRPr="00F50B51">
        <w:rPr>
          <w:rFonts w:cs="Times New Roman" w:hint="eastAsia"/>
          <w:sz w:val="21"/>
          <w:szCs w:val="21"/>
        </w:rPr>
        <w:t>流动资产；取得时期限在一年内</w:t>
      </w:r>
      <w:r w:rsidRPr="00F50B51">
        <w:rPr>
          <w:rFonts w:ascii="Times New Roman" w:hAnsi="Times New Roman" w:cs="Times New Roman"/>
          <w:sz w:val="21"/>
          <w:szCs w:val="21"/>
        </w:rPr>
        <w:t>(</w:t>
      </w:r>
      <w:r w:rsidRPr="00F50B51">
        <w:rPr>
          <w:rFonts w:cs="Times New Roman" w:hint="eastAsia"/>
          <w:sz w:val="21"/>
          <w:szCs w:val="21"/>
        </w:rPr>
        <w:t>含一年</w:t>
      </w:r>
      <w:r w:rsidRPr="00F50B51">
        <w:rPr>
          <w:rFonts w:ascii="Times New Roman" w:hAnsi="Times New Roman" w:cs="Times New Roman"/>
          <w:sz w:val="21"/>
          <w:szCs w:val="21"/>
        </w:rPr>
        <w:t>)</w:t>
      </w:r>
      <w:r w:rsidRPr="00F50B51">
        <w:rPr>
          <w:rFonts w:cs="Times New Roman" w:hint="eastAsia"/>
          <w:sz w:val="21"/>
          <w:szCs w:val="21"/>
        </w:rPr>
        <w:t>的债权投资列示为其他流动资产。</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以公允价值计量且其变动计入其他综合收益：管理此类金融资产的业务模式为既以收取合同现金流量为目标又以出售为目标，且此类金融资产的合同现金流量特征与基本借贷安排相一致。此类金融资产按照公允价值计量且其变动计入其他综合收益，但减值损失或利得、汇兑损益和按照实际利率法计算的利息收入计入当期损益。此类金融资产主要包括应收款项融资、其他债权投资等。公司将自资产负债表日起一年内</w:t>
      </w:r>
      <w:r w:rsidRPr="00F50B51">
        <w:rPr>
          <w:rFonts w:ascii="Times New Roman" w:hAnsi="Times New Roman" w:cs="Times New Roman"/>
          <w:sz w:val="21"/>
          <w:szCs w:val="21"/>
        </w:rPr>
        <w:t>(</w:t>
      </w:r>
      <w:r w:rsidRPr="00F50B51">
        <w:rPr>
          <w:rFonts w:cs="Times New Roman" w:hint="eastAsia"/>
          <w:sz w:val="21"/>
          <w:szCs w:val="21"/>
        </w:rPr>
        <w:t>含一年</w:t>
      </w:r>
      <w:r w:rsidRPr="00F50B51">
        <w:rPr>
          <w:rFonts w:ascii="Times New Roman" w:hAnsi="Times New Roman" w:cs="Times New Roman"/>
          <w:sz w:val="21"/>
          <w:szCs w:val="21"/>
        </w:rPr>
        <w:t>)</w:t>
      </w:r>
      <w:r w:rsidRPr="00F50B51">
        <w:rPr>
          <w:rFonts w:cs="Times New Roman" w:hint="eastAsia"/>
          <w:sz w:val="21"/>
          <w:szCs w:val="21"/>
        </w:rPr>
        <w:t>到期的其他债权投资，列示为一年内到期的非流动资产；取得时期限在一年内</w:t>
      </w:r>
      <w:r w:rsidRPr="00F50B51">
        <w:rPr>
          <w:rFonts w:ascii="Times New Roman" w:hAnsi="Times New Roman" w:cs="Times New Roman"/>
          <w:sz w:val="21"/>
          <w:szCs w:val="21"/>
        </w:rPr>
        <w:t>(</w:t>
      </w:r>
      <w:r w:rsidRPr="00F50B51">
        <w:rPr>
          <w:rFonts w:cs="Times New Roman" w:hint="eastAsia"/>
          <w:sz w:val="21"/>
          <w:szCs w:val="21"/>
        </w:rPr>
        <w:t>含一年</w:t>
      </w:r>
      <w:r w:rsidRPr="00F50B51">
        <w:rPr>
          <w:rFonts w:ascii="Times New Roman" w:hAnsi="Times New Roman" w:cs="Times New Roman"/>
          <w:sz w:val="21"/>
          <w:szCs w:val="21"/>
        </w:rPr>
        <w:t>)</w:t>
      </w:r>
      <w:r w:rsidRPr="00F50B51">
        <w:rPr>
          <w:rFonts w:cs="Times New Roman" w:hint="eastAsia"/>
          <w:sz w:val="21"/>
          <w:szCs w:val="21"/>
        </w:rPr>
        <w:t>的其他债权投资列示为其他流动资产。</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ascii="Times New Roman" w:hAnsi="Times New Roman" w:cs="Times New Roman"/>
          <w:sz w:val="21"/>
          <w:szCs w:val="21"/>
        </w:rPr>
        <w:t>C</w:t>
      </w:r>
      <w:r w:rsidRPr="00F50B51">
        <w:rPr>
          <w:rFonts w:cs="Times New Roman" w:hint="eastAsia"/>
          <w:sz w:val="21"/>
          <w:szCs w:val="21"/>
        </w:rPr>
        <w:t>、以公允价值计量且其变动计入当期损益：将持有的未划分为以摊余成本计量和以公允价值计量且其变动计入其他综合收益的债务工具，以公允价值计量且其变动计入当期损益，列示为交易性金融资产。在初始确认时，为了消除或显著减少会计错配，将部分金融资产指定为以公允价值计量且其变动计入当期损益的金融资产。自资产负债表日起超过一年到期且预期持有超过一年的，列示为其他非流动金融资产。</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）权益工具</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将部分非交易性权</w:t>
      </w:r>
      <w:r w:rsidRPr="00F50B51">
        <w:rPr>
          <w:rFonts w:cs="Times New Roman" w:hint="eastAsia"/>
          <w:sz w:val="21"/>
          <w:szCs w:val="21"/>
        </w:rPr>
        <w:t>益工具投资指定为以公允价值计量且其变动计入其他综合收益的金融资产，列示为其他权益工具投资。该类金融资产的相关股利收入计入当期损益。</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4</w:t>
      </w:r>
      <w:r w:rsidRPr="00F50B51">
        <w:rPr>
          <w:rFonts w:cs="Times New Roman" w:hint="eastAsia"/>
          <w:sz w:val="21"/>
          <w:szCs w:val="21"/>
        </w:rPr>
        <w:t>）减值</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对以摊余成本计量的金融资产、以公允价值计量且其变动计入其他综合收益的债务工具投资、租赁应收款，主要包括应收票据、应收账款、应收款项融资、其他应收款、债权投资、其他债权投资、长期应收款等，公司以预期信用损失为基础计提减值准备并确认信用减值损失。</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信用损失，是指公司按照原实际利率折现的、根据合同应收的所有合同现金流量与预期收取的所有现金流量之间的差额，即全部现金短缺的现值。其中，对于公司购买或源生的已发生信用减值的金融资产，应按照该金融资产经信用调整的实际利率折现。</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5</w:t>
      </w:r>
      <w:r w:rsidRPr="00F50B51">
        <w:rPr>
          <w:rFonts w:cs="Times New Roman" w:hint="eastAsia"/>
          <w:sz w:val="21"/>
          <w:szCs w:val="21"/>
        </w:rPr>
        <w:t>）预期信用损失计量的一般方法</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公司在每个资产负债表日评估金融资产（含合同资产等其他适用项目，下同）的信用风险自初始确认后是否已经显著增加，如果信用风险自初始确认后已显著增加，公司按照相当于整个存续期内预期信用损失的金额计量损失准备；如果信用风险自初始确认后未显著增加，公司按照相当于未</w:t>
      </w:r>
      <w:r w:rsidRPr="00F50B51">
        <w:rPr>
          <w:rFonts w:cs="Times New Roman" w:hint="eastAsia"/>
          <w:sz w:val="21"/>
          <w:szCs w:val="21"/>
        </w:rPr>
        <w:t>来</w:t>
      </w:r>
      <w:r w:rsidRPr="00F50B51">
        <w:rPr>
          <w:rFonts w:ascii="Times New Roman" w:hAnsi="Times New Roman" w:cs="Times New Roman"/>
          <w:sz w:val="21"/>
          <w:szCs w:val="21"/>
        </w:rPr>
        <w:t>12</w:t>
      </w:r>
      <w:r w:rsidRPr="00F50B51">
        <w:rPr>
          <w:rFonts w:cs="Times New Roman" w:hint="eastAsia"/>
          <w:sz w:val="21"/>
          <w:szCs w:val="21"/>
        </w:rPr>
        <w:t>个月内预期信用损失的金额计量损失准备。公司在评估预期信用损失时，考虑所有合理且有依据的信息，包括前瞻性信息。</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对于在资产负债表日具有较低信用风险的金融工具，公司假设其信用风险自初始确认后并未显著增加，选择按照未来</w:t>
      </w:r>
      <w:r w:rsidRPr="00F50B51">
        <w:rPr>
          <w:rFonts w:ascii="Times New Roman" w:hAnsi="Times New Roman" w:cs="Times New Roman"/>
          <w:sz w:val="21"/>
          <w:szCs w:val="21"/>
        </w:rPr>
        <w:t>12</w:t>
      </w:r>
      <w:r w:rsidRPr="00F50B51">
        <w:rPr>
          <w:rFonts w:cs="Times New Roman" w:hint="eastAsia"/>
          <w:sz w:val="21"/>
          <w:szCs w:val="21"/>
        </w:rPr>
        <w:t>个月内的预期信用损失计量损失准备。</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6</w:t>
      </w:r>
      <w:r w:rsidRPr="00F50B51">
        <w:rPr>
          <w:rFonts w:cs="Times New Roman" w:hint="eastAsia"/>
          <w:sz w:val="21"/>
          <w:szCs w:val="21"/>
        </w:rPr>
        <w:t>）信用风险自初始确认后是否显著增加的判断标准</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如果某项金融资产在资产负债表日确定的预计存续期内的违约概率显著高于在初始确认时确定的预计存续期内的违约概率，则表明该项金融资产的信用风险显著增加。除特殊情况外，公司采用未来</w:t>
      </w:r>
      <w:r w:rsidRPr="00F50B51">
        <w:rPr>
          <w:rFonts w:ascii="Times New Roman" w:hAnsi="Times New Roman" w:cs="Times New Roman"/>
          <w:sz w:val="21"/>
          <w:szCs w:val="21"/>
        </w:rPr>
        <w:t>12</w:t>
      </w:r>
      <w:r w:rsidRPr="00F50B51">
        <w:rPr>
          <w:rFonts w:cs="Times New Roman" w:hint="eastAsia"/>
          <w:sz w:val="21"/>
          <w:szCs w:val="21"/>
        </w:rPr>
        <w:t>个月内发生的违约风险的变化作</w:t>
      </w:r>
      <w:r w:rsidRPr="00F50B51">
        <w:rPr>
          <w:rFonts w:cs="Times New Roman" w:hint="eastAsia"/>
          <w:sz w:val="21"/>
          <w:szCs w:val="21"/>
        </w:rPr>
        <w:t>为整个存续期内发生违约风险变化的合理估计，来确定自初始确认后信用风险是否显著增加。</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7</w:t>
      </w:r>
      <w:r w:rsidRPr="00F50B51">
        <w:rPr>
          <w:rFonts w:cs="Times New Roman" w:hint="eastAsia"/>
          <w:sz w:val="21"/>
          <w:szCs w:val="21"/>
        </w:rPr>
        <w:t>）以组合为基础评估预期信用风险的组合方法</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公司对于信用风险显著不同具备以下特征的应收票据、应收账款和其他应收款单项评价信用风险。如：应收关联方款项；与对方存在争议或涉及诉讼、仲裁的应收款项；已有明显迹象表明债务人很可能无法履行还款义务的应收票据和应收款项等。</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除了单项评估信用风险的金融资产外，公司基于共同风险特征将金融资产划分为不同的组别，在组合的基础上评估信用风险。</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8</w:t>
      </w:r>
      <w:r w:rsidRPr="00F50B51">
        <w:rPr>
          <w:rFonts w:cs="Times New Roman" w:hint="eastAsia"/>
          <w:sz w:val="21"/>
          <w:szCs w:val="21"/>
        </w:rPr>
        <w:t>）金融资产减值的会计处理方法</w:t>
      </w:r>
    </w:p>
    <w:p w:rsidR="0058782B" w:rsidRPr="00F50B51" w:rsidRDefault="00F80EE7">
      <w:pPr>
        <w:pStyle w:val="a7"/>
        <w:spacing w:before="0" w:beforeAutospacing="0" w:after="0" w:afterAutospacing="0"/>
        <w:jc w:val="both"/>
        <w:rPr>
          <w:rFonts w:ascii="Times New Roman" w:hAnsi="Times New Roman" w:cs="Times New Roman"/>
          <w:sz w:val="21"/>
          <w:szCs w:val="21"/>
        </w:rPr>
      </w:pPr>
      <w:r w:rsidRPr="00F50B51">
        <w:rPr>
          <w:rFonts w:cs="Times New Roman" w:hint="eastAsia"/>
          <w:sz w:val="21"/>
          <w:szCs w:val="21"/>
        </w:rPr>
        <w:t>年末，计算各类金融</w:t>
      </w:r>
      <w:r w:rsidRPr="00F50B51">
        <w:rPr>
          <w:rFonts w:cs="Times New Roman" w:hint="eastAsia"/>
          <w:sz w:val="21"/>
          <w:szCs w:val="21"/>
        </w:rPr>
        <w:t>资产的预计信用损失，如果该预计信用损失大于其当前减值准备的账面金额，将其差额确认为减值损失；如果小于当前减值准备的账面金额，则将差额确认为减值利得。</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cs="Times New Roman" w:hint="eastAsia"/>
          <w:sz w:val="21"/>
          <w:szCs w:val="21"/>
        </w:rPr>
        <w:t>9</w:t>
      </w:r>
      <w:r w:rsidRPr="00F50B51">
        <w:rPr>
          <w:rFonts w:cs="Times New Roman" w:hint="eastAsia"/>
          <w:sz w:val="21"/>
          <w:szCs w:val="21"/>
        </w:rPr>
        <w:t>）终止确认</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金融资产满足下列条件之一的，予以终止确认：</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、收取该金融资产现金流量的合同权利终止；</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、该金融资产已转移，且本集团将金融资产所有权上几乎所有的风险和报酬转移给转入方；</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ascii="Times New Roman" w:hAnsi="Times New Roman" w:cs="Times New Roman"/>
          <w:sz w:val="21"/>
          <w:szCs w:val="21"/>
        </w:rPr>
        <w:t>C</w:t>
      </w:r>
      <w:r w:rsidRPr="00F50B51">
        <w:rPr>
          <w:rFonts w:cs="Times New Roman" w:hint="eastAsia"/>
          <w:sz w:val="21"/>
          <w:szCs w:val="21"/>
        </w:rPr>
        <w:t>、该金融资产已转移，虽然本集团既没有转移也没有保留金融资产所有权上几乎所有的风险和报酬，但是放弃了对该金融资产控制。其他权益工具投资终止确认时，其账面价值与收到的对价以及原</w:t>
      </w:r>
      <w:r w:rsidRPr="00F50B51">
        <w:rPr>
          <w:rFonts w:cs="Times New Roman" w:hint="eastAsia"/>
          <w:sz w:val="21"/>
          <w:szCs w:val="21"/>
        </w:rPr>
        <w:t>直接计入其他综合收益的公允价值变动累计额之和的差额，计入留存收益；其余金融资产终止确认时，其账面价值与收到的对价以及原直接计入其他综合收益。</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10</w:t>
      </w:r>
      <w:r w:rsidRPr="00F50B51">
        <w:rPr>
          <w:rFonts w:cs="Times New Roman" w:hint="eastAsia"/>
          <w:sz w:val="21"/>
          <w:szCs w:val="21"/>
        </w:rPr>
        <w:t>）金融负债</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金融负债于初始确认时分类为以摊余成本计量的金融负债和以公允价值计量且其变动计入当期损益的金融负债。</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金融负债主要为以摊余成本计量的金融负债，包括应付票据及应付账款、其他应付款及借款等。该类金融负债按其公允价值扣除交易费用后的金额进行初始计量，并采用实际利率法进行后续计量。</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期限在一年以下</w:t>
      </w:r>
      <w:r w:rsidRPr="00F50B51">
        <w:rPr>
          <w:rFonts w:ascii="Times New Roman" w:hAnsi="Times New Roman" w:cs="Times New Roman"/>
          <w:sz w:val="21"/>
          <w:szCs w:val="21"/>
        </w:rPr>
        <w:t>(</w:t>
      </w:r>
      <w:r w:rsidRPr="00F50B51">
        <w:rPr>
          <w:rFonts w:cs="Times New Roman" w:hint="eastAsia"/>
          <w:sz w:val="21"/>
          <w:szCs w:val="21"/>
        </w:rPr>
        <w:t>含一年</w:t>
      </w:r>
      <w:r w:rsidRPr="00F50B51">
        <w:rPr>
          <w:rFonts w:ascii="Times New Roman" w:hAnsi="Times New Roman" w:cs="Times New Roman"/>
          <w:sz w:val="21"/>
          <w:szCs w:val="21"/>
        </w:rPr>
        <w:t>)</w:t>
      </w:r>
      <w:r w:rsidRPr="00F50B51">
        <w:rPr>
          <w:rFonts w:cs="Times New Roman" w:hint="eastAsia"/>
          <w:sz w:val="21"/>
          <w:szCs w:val="21"/>
        </w:rPr>
        <w:t>的，列示为流动负债；期限在一年以上但自资产负债表日起一年内</w:t>
      </w:r>
      <w:r w:rsidRPr="00F50B51">
        <w:rPr>
          <w:rFonts w:ascii="Times New Roman" w:hAnsi="Times New Roman" w:cs="Times New Roman"/>
          <w:sz w:val="21"/>
          <w:szCs w:val="21"/>
        </w:rPr>
        <w:t>(</w:t>
      </w:r>
      <w:r w:rsidRPr="00F50B51">
        <w:rPr>
          <w:rFonts w:cs="Times New Roman" w:hint="eastAsia"/>
          <w:sz w:val="21"/>
          <w:szCs w:val="21"/>
        </w:rPr>
        <w:t>含一年</w:t>
      </w:r>
      <w:r w:rsidRPr="00F50B51">
        <w:rPr>
          <w:rFonts w:ascii="Times New Roman" w:hAnsi="Times New Roman" w:cs="Times New Roman"/>
          <w:sz w:val="21"/>
          <w:szCs w:val="21"/>
        </w:rPr>
        <w:t>)</w:t>
      </w:r>
      <w:r w:rsidRPr="00F50B51">
        <w:rPr>
          <w:rFonts w:cs="Times New Roman" w:hint="eastAsia"/>
          <w:sz w:val="21"/>
          <w:szCs w:val="21"/>
        </w:rPr>
        <w:t>到期的，列示为一年内到期的非流动负债；其余列示为非流动负债。</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当金融负债的现时义务全部或部分已经解除时，本集团终止确认该金融负债或义务已解除的部分。终止确认部分的账面价值与支付的对价之间的差额，计入当期损益。</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11</w:t>
      </w:r>
      <w:r w:rsidRPr="00F50B51">
        <w:rPr>
          <w:rFonts w:cs="Times New Roman" w:hint="eastAsia"/>
          <w:sz w:val="21"/>
          <w:szCs w:val="21"/>
        </w:rPr>
        <w:t>）金融工具的公允价值确定</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存在活跃市场的金融工具，以活跃市场中的报价确定其公允价值。不存在活跃市场的金融工具，采用估值技术确定其公允价值。在估值时，本集团采用在当前情况下适用并且有足够可利用数据和其他信息支持的估值技术，选择与市</w:t>
      </w:r>
      <w:r w:rsidRPr="00F50B51">
        <w:rPr>
          <w:rFonts w:cs="Times New Roman" w:hint="eastAsia"/>
          <w:sz w:val="21"/>
          <w:szCs w:val="21"/>
        </w:rPr>
        <w:t>场参与者在相关资产或负债的交易中所考虑的资产或负债特征相一致的输入值，并尽可能优先使用相关可观察输入值。在相关可观察输入值无法取得或取得不切实可行的情况下，使用不可观察输入值。</w:t>
      </w:r>
    </w:p>
    <w:p w:rsidR="0058782B" w:rsidRPr="00F50B51" w:rsidRDefault="00F80EE7">
      <w:pPr>
        <w:pStyle w:val="3"/>
        <w:spacing w:line="280" w:lineRule="exact"/>
        <w:jc w:val="left"/>
        <w:rPr>
          <w:rFonts w:ascii="宋体" w:hAnsi="宋体" w:cs="宋体"/>
          <w:b/>
          <w:bCs/>
        </w:rPr>
      </w:pPr>
      <w:bookmarkStart w:id="130" w:name="_Toc989018"/>
      <w:r w:rsidRPr="00F50B51">
        <w:rPr>
          <w:rFonts w:ascii="宋体" w:hAnsi="宋体" w:cs="宋体"/>
          <w:b/>
          <w:bCs/>
        </w:rPr>
        <w:t>11</w:t>
      </w:r>
      <w:r w:rsidRPr="00F50B51">
        <w:rPr>
          <w:rFonts w:ascii="宋体" w:hAnsi="宋体" w:cs="宋体"/>
          <w:b/>
          <w:bCs/>
        </w:rPr>
        <w:t>、应收票据</w:t>
      </w:r>
      <w:bookmarkEnd w:id="130"/>
    </w:p>
    <w:tbl>
      <w:tblPr>
        <w:tblW w:w="5000" w:type="pct"/>
        <w:jc w:val="center"/>
        <w:tblCellMar>
          <w:top w:w="15" w:type="dxa"/>
          <w:left w:w="15" w:type="dxa"/>
          <w:bottom w:w="15" w:type="dxa"/>
          <w:right w:w="15" w:type="dxa"/>
        </w:tblCellMar>
        <w:tblLook w:val="04A0"/>
      </w:tblPr>
      <w:tblGrid>
        <w:gridCol w:w="4073"/>
        <w:gridCol w:w="5780"/>
      </w:tblGrid>
      <w:tr w:rsidR="0058782B" w:rsidRPr="00F50B51">
        <w:trPr>
          <w:jc w:val="center"/>
        </w:trPr>
        <w:tc>
          <w:tcPr>
            <w:tcW w:w="20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center"/>
              <w:rPr>
                <w:rFonts w:ascii="Times New Roman" w:hAnsi="Times New Roman" w:cs="Times New Roman"/>
                <w:sz w:val="21"/>
                <w:szCs w:val="21"/>
              </w:rPr>
            </w:pPr>
            <w:r w:rsidRPr="00F50B51">
              <w:rPr>
                <w:rFonts w:cs="Times New Roman" w:hint="eastAsia"/>
                <w:sz w:val="21"/>
                <w:szCs w:val="21"/>
              </w:rPr>
              <w:t>组合</w:t>
            </w:r>
          </w:p>
        </w:tc>
        <w:tc>
          <w:tcPr>
            <w:tcW w:w="29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center"/>
              <w:rPr>
                <w:rFonts w:ascii="Times New Roman" w:hAnsi="Times New Roman" w:cs="Times New Roman"/>
                <w:sz w:val="21"/>
                <w:szCs w:val="21"/>
              </w:rPr>
            </w:pPr>
            <w:r w:rsidRPr="00F50B51">
              <w:rPr>
                <w:rFonts w:cs="Times New Roman" w:hint="eastAsia"/>
                <w:sz w:val="21"/>
                <w:szCs w:val="21"/>
              </w:rPr>
              <w:t>确定组合的依据</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应收票据组合</w:t>
            </w:r>
            <w:r w:rsidRPr="00F50B51">
              <w:rPr>
                <w:rFonts w:cs="Times New Roman" w:hint="eastAsia"/>
                <w:sz w:val="21"/>
                <w:szCs w:val="21"/>
              </w:rPr>
              <w:t>1</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both"/>
              <w:rPr>
                <w:rFonts w:ascii="Times New Roman" w:hAnsi="Times New Roman" w:cs="Times New Roman"/>
                <w:sz w:val="21"/>
                <w:szCs w:val="21"/>
              </w:rPr>
            </w:pPr>
            <w:r w:rsidRPr="00F50B51">
              <w:rPr>
                <w:rFonts w:cs="Times New Roman" w:hint="eastAsia"/>
                <w:sz w:val="21"/>
                <w:szCs w:val="21"/>
              </w:rPr>
              <w:t>银行承兑汇票</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应收票据组合</w:t>
            </w:r>
            <w:r w:rsidRPr="00F50B51">
              <w:rPr>
                <w:rFonts w:cs="Times New Roman" w:hint="eastAsia"/>
                <w:sz w:val="21"/>
                <w:szCs w:val="21"/>
              </w:rPr>
              <w:t>2</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both"/>
              <w:rPr>
                <w:rFonts w:ascii="Times New Roman" w:hAnsi="Times New Roman" w:cs="Times New Roman"/>
                <w:sz w:val="21"/>
                <w:szCs w:val="21"/>
              </w:rPr>
            </w:pPr>
            <w:r w:rsidRPr="00F50B51">
              <w:rPr>
                <w:rFonts w:cs="Times New Roman" w:hint="eastAsia"/>
                <w:sz w:val="21"/>
                <w:szCs w:val="21"/>
              </w:rPr>
              <w:t>商业承兑汇票</w:t>
            </w:r>
          </w:p>
        </w:tc>
      </w:tr>
    </w:tbl>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对于划分为组合的应收票据、应收款项融资，公司参考历史信用损失经验，结合当前状况以及对未来经济状况的预测，通过违约风险敞口和整个存续期预期信用损失率，计算预期信用损失。公司认为银行承兑汇票不存在重大的信用风险，不会因银行或其他出票人违约而产生重大损失，故预期信用损失率为零。</w:t>
      </w:r>
    </w:p>
    <w:p w:rsidR="0058782B" w:rsidRPr="00F50B51" w:rsidRDefault="00F80EE7">
      <w:pPr>
        <w:pStyle w:val="a7"/>
        <w:spacing w:before="0" w:beforeAutospacing="0" w:after="0" w:afterAutospacing="0"/>
        <w:jc w:val="both"/>
        <w:rPr>
          <w:rFonts w:ascii="Times New Roman" w:hAnsi="Times New Roman" w:cs="Times New Roman"/>
          <w:sz w:val="21"/>
          <w:szCs w:val="21"/>
        </w:rPr>
      </w:pPr>
      <w:r w:rsidRPr="00F50B51">
        <w:rPr>
          <w:rFonts w:ascii="Times New Roman" w:hAnsi="Times New Roman" w:cs="Times New Roman"/>
          <w:sz w:val="21"/>
          <w:szCs w:val="21"/>
        </w:rPr>
        <w:t> </w:t>
      </w:r>
    </w:p>
    <w:p w:rsidR="0058782B" w:rsidRPr="00F50B51" w:rsidRDefault="00F80EE7">
      <w:pPr>
        <w:pStyle w:val="3"/>
        <w:spacing w:line="280" w:lineRule="exact"/>
        <w:jc w:val="left"/>
        <w:rPr>
          <w:rFonts w:ascii="宋体" w:hAnsi="宋体" w:cs="宋体"/>
          <w:b/>
          <w:bCs/>
        </w:rPr>
      </w:pPr>
      <w:bookmarkStart w:id="131" w:name="_Toc989019"/>
      <w:r w:rsidRPr="00F50B51">
        <w:rPr>
          <w:rFonts w:ascii="宋体" w:hAnsi="宋体" w:cs="宋体"/>
          <w:b/>
          <w:bCs/>
        </w:rPr>
        <w:t>12</w:t>
      </w:r>
      <w:r w:rsidRPr="00F50B51">
        <w:rPr>
          <w:rFonts w:ascii="宋体" w:hAnsi="宋体" w:cs="宋体"/>
          <w:b/>
          <w:bCs/>
        </w:rPr>
        <w:t>、应收账款</w:t>
      </w:r>
      <w:bookmarkEnd w:id="131"/>
    </w:p>
    <w:tbl>
      <w:tblPr>
        <w:tblW w:w="5000" w:type="pct"/>
        <w:jc w:val="center"/>
        <w:tblCellMar>
          <w:top w:w="15" w:type="dxa"/>
          <w:left w:w="15" w:type="dxa"/>
          <w:bottom w:w="15" w:type="dxa"/>
          <w:right w:w="15" w:type="dxa"/>
        </w:tblCellMar>
        <w:tblLook w:val="04A0"/>
      </w:tblPr>
      <w:tblGrid>
        <w:gridCol w:w="4073"/>
        <w:gridCol w:w="5780"/>
      </w:tblGrid>
      <w:tr w:rsidR="0058782B" w:rsidRPr="00F50B51">
        <w:trPr>
          <w:jc w:val="center"/>
        </w:trPr>
        <w:tc>
          <w:tcPr>
            <w:tcW w:w="20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center"/>
              <w:rPr>
                <w:rFonts w:ascii="Times New Roman" w:hAnsi="Times New Roman" w:cs="Times New Roman"/>
                <w:sz w:val="21"/>
                <w:szCs w:val="21"/>
              </w:rPr>
            </w:pPr>
            <w:r w:rsidRPr="00F50B51">
              <w:rPr>
                <w:rFonts w:cs="Times New Roman" w:hint="eastAsia"/>
                <w:sz w:val="21"/>
                <w:szCs w:val="21"/>
              </w:rPr>
              <w:t>组合</w:t>
            </w:r>
          </w:p>
        </w:tc>
        <w:tc>
          <w:tcPr>
            <w:tcW w:w="29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center"/>
              <w:rPr>
                <w:rFonts w:ascii="Times New Roman" w:hAnsi="Times New Roman" w:cs="Times New Roman"/>
                <w:sz w:val="21"/>
                <w:szCs w:val="21"/>
              </w:rPr>
            </w:pPr>
            <w:r w:rsidRPr="00F50B51">
              <w:rPr>
                <w:rFonts w:cs="Times New Roman" w:hint="eastAsia"/>
                <w:sz w:val="21"/>
                <w:szCs w:val="21"/>
              </w:rPr>
              <w:t>确定组合的依据</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应收账款组合</w:t>
            </w:r>
            <w:r w:rsidRPr="00F50B51">
              <w:rPr>
                <w:rFonts w:cs="Times New Roman" w:hint="eastAsia"/>
                <w:sz w:val="21"/>
                <w:szCs w:val="21"/>
              </w:rPr>
              <w:t>1</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both"/>
              <w:rPr>
                <w:rFonts w:ascii="Times New Roman" w:hAnsi="Times New Roman" w:cs="Times New Roman"/>
                <w:sz w:val="21"/>
                <w:szCs w:val="21"/>
              </w:rPr>
            </w:pPr>
            <w:r w:rsidRPr="00F50B51">
              <w:rPr>
                <w:rFonts w:cs="Times New Roman" w:hint="eastAsia"/>
                <w:sz w:val="21"/>
                <w:szCs w:val="21"/>
              </w:rPr>
              <w:t>应收直销客户</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应收账款组合</w:t>
            </w:r>
            <w:r w:rsidRPr="00F50B51">
              <w:rPr>
                <w:rFonts w:cs="Times New Roman" w:hint="eastAsia"/>
                <w:sz w:val="21"/>
                <w:szCs w:val="21"/>
              </w:rPr>
              <w:t>2</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both"/>
              <w:rPr>
                <w:rFonts w:ascii="Times New Roman" w:hAnsi="Times New Roman" w:cs="Times New Roman"/>
                <w:sz w:val="21"/>
                <w:szCs w:val="21"/>
              </w:rPr>
            </w:pPr>
            <w:r w:rsidRPr="00F50B51">
              <w:rPr>
                <w:rFonts w:cs="Times New Roman" w:hint="eastAsia"/>
                <w:sz w:val="21"/>
                <w:szCs w:val="21"/>
              </w:rPr>
              <w:t>应收经销客户</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应收账款组合</w:t>
            </w:r>
            <w:r w:rsidRPr="00F50B51">
              <w:rPr>
                <w:rFonts w:cs="Times New Roman" w:hint="eastAsia"/>
                <w:sz w:val="21"/>
                <w:szCs w:val="21"/>
              </w:rPr>
              <w:t>3</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both"/>
              <w:rPr>
                <w:rFonts w:ascii="Times New Roman" w:hAnsi="Times New Roman" w:cs="Times New Roman"/>
                <w:sz w:val="21"/>
                <w:szCs w:val="21"/>
              </w:rPr>
            </w:pPr>
            <w:r w:rsidRPr="00F50B51">
              <w:rPr>
                <w:rFonts w:cs="Times New Roman" w:hint="eastAsia"/>
                <w:sz w:val="21"/>
                <w:szCs w:val="21"/>
              </w:rPr>
              <w:t>应收合并范围内关联方客户</w:t>
            </w:r>
          </w:p>
        </w:tc>
      </w:tr>
    </w:tbl>
    <w:p w:rsidR="0058782B" w:rsidRPr="00F50B51" w:rsidRDefault="00F80EE7">
      <w:pPr>
        <w:pStyle w:val="a7"/>
        <w:spacing w:before="0" w:beforeAutospacing="0" w:after="0" w:afterAutospacing="0"/>
        <w:jc w:val="both"/>
        <w:rPr>
          <w:rFonts w:ascii="Times New Roman" w:hAnsi="Times New Roman" w:cs="Times New Roman"/>
          <w:sz w:val="21"/>
          <w:szCs w:val="21"/>
        </w:rPr>
      </w:pPr>
      <w:r w:rsidRPr="00F50B51">
        <w:rPr>
          <w:rFonts w:cs="Times New Roman" w:hint="eastAsia"/>
          <w:sz w:val="21"/>
          <w:szCs w:val="21"/>
        </w:rPr>
        <w:t>对于划分为组合的应收账款，公司参考历史信用损失经验，结合当前状况以及对未来经济状况的预测，编制应收账款账龄与整个存续期预期信用损失率对照表，计算预期信用损失。</w:t>
      </w:r>
    </w:p>
    <w:p w:rsidR="0058782B" w:rsidRPr="00F50B51" w:rsidRDefault="00F80EE7">
      <w:pPr>
        <w:pStyle w:val="3"/>
        <w:spacing w:line="280" w:lineRule="exact"/>
        <w:jc w:val="left"/>
        <w:rPr>
          <w:rFonts w:ascii="宋体" w:hAnsi="宋体" w:cs="宋体"/>
          <w:b/>
          <w:bCs/>
        </w:rPr>
      </w:pPr>
      <w:bookmarkStart w:id="132" w:name="_Toc989020"/>
      <w:r w:rsidRPr="00F50B51">
        <w:rPr>
          <w:rFonts w:ascii="宋体" w:hAnsi="宋体" w:cs="宋体"/>
          <w:b/>
          <w:bCs/>
        </w:rPr>
        <w:t>13</w:t>
      </w:r>
      <w:r w:rsidRPr="00F50B51">
        <w:rPr>
          <w:rFonts w:ascii="宋体" w:hAnsi="宋体" w:cs="宋体"/>
          <w:b/>
          <w:bCs/>
        </w:rPr>
        <w:t>、应收款项融资</w:t>
      </w:r>
      <w:bookmarkEnd w:id="132"/>
    </w:p>
    <w:tbl>
      <w:tblPr>
        <w:tblW w:w="5000" w:type="pct"/>
        <w:jc w:val="center"/>
        <w:tblCellMar>
          <w:top w:w="15" w:type="dxa"/>
          <w:left w:w="15" w:type="dxa"/>
          <w:bottom w:w="15" w:type="dxa"/>
          <w:right w:w="15" w:type="dxa"/>
        </w:tblCellMar>
        <w:tblLook w:val="04A0"/>
      </w:tblPr>
      <w:tblGrid>
        <w:gridCol w:w="4073"/>
        <w:gridCol w:w="5780"/>
      </w:tblGrid>
      <w:tr w:rsidR="0058782B" w:rsidRPr="00F50B51">
        <w:trPr>
          <w:jc w:val="center"/>
        </w:trPr>
        <w:tc>
          <w:tcPr>
            <w:tcW w:w="20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center"/>
              <w:rPr>
                <w:rFonts w:ascii="Times New Roman" w:hAnsi="Times New Roman" w:cs="Times New Roman"/>
                <w:sz w:val="21"/>
                <w:szCs w:val="21"/>
              </w:rPr>
            </w:pPr>
            <w:r w:rsidRPr="00F50B51">
              <w:rPr>
                <w:rFonts w:cs="Times New Roman" w:hint="eastAsia"/>
                <w:sz w:val="21"/>
                <w:szCs w:val="21"/>
              </w:rPr>
              <w:t>组合</w:t>
            </w:r>
          </w:p>
        </w:tc>
        <w:tc>
          <w:tcPr>
            <w:tcW w:w="29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center"/>
              <w:rPr>
                <w:rFonts w:ascii="Times New Roman" w:hAnsi="Times New Roman" w:cs="Times New Roman"/>
                <w:sz w:val="21"/>
                <w:szCs w:val="21"/>
              </w:rPr>
            </w:pPr>
            <w:r w:rsidRPr="00F50B51">
              <w:rPr>
                <w:rFonts w:cs="Times New Roman" w:hint="eastAsia"/>
                <w:sz w:val="21"/>
                <w:szCs w:val="21"/>
              </w:rPr>
              <w:t>确定组合的依据</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应收票据组合</w:t>
            </w:r>
            <w:r w:rsidRPr="00F50B51">
              <w:rPr>
                <w:rFonts w:cs="Times New Roman" w:hint="eastAsia"/>
                <w:sz w:val="21"/>
                <w:szCs w:val="21"/>
              </w:rPr>
              <w:t>1</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both"/>
              <w:rPr>
                <w:rFonts w:ascii="Times New Roman" w:hAnsi="Times New Roman" w:cs="Times New Roman"/>
                <w:sz w:val="21"/>
                <w:szCs w:val="21"/>
              </w:rPr>
            </w:pPr>
            <w:r w:rsidRPr="00F50B51">
              <w:rPr>
                <w:rFonts w:cs="Times New Roman" w:hint="eastAsia"/>
                <w:sz w:val="21"/>
                <w:szCs w:val="21"/>
              </w:rPr>
              <w:t>银行承兑汇票</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应收票据组合</w:t>
            </w:r>
            <w:r w:rsidRPr="00F50B51">
              <w:rPr>
                <w:rFonts w:cs="Times New Roman" w:hint="eastAsia"/>
                <w:sz w:val="21"/>
                <w:szCs w:val="21"/>
              </w:rPr>
              <w:t>2</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both"/>
              <w:rPr>
                <w:rFonts w:ascii="Times New Roman" w:hAnsi="Times New Roman" w:cs="Times New Roman"/>
                <w:sz w:val="21"/>
                <w:szCs w:val="21"/>
              </w:rPr>
            </w:pPr>
            <w:r w:rsidRPr="00F50B51">
              <w:rPr>
                <w:rFonts w:cs="Times New Roman" w:hint="eastAsia"/>
                <w:sz w:val="21"/>
                <w:szCs w:val="21"/>
              </w:rPr>
              <w:t>商业承兑汇票</w:t>
            </w:r>
          </w:p>
        </w:tc>
      </w:tr>
    </w:tbl>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对于划分为组合的应收票据、应收款项融资，公司参考历史信用损失经验，结合当前状况以及对未来经济状况的预测，通过违约风险敞口和整个存续期预期信用损失率，计算预期信用损失。公司认为银行承兑汇票不存在重大的信用风险，不会因银行或其他出票人违约而产生重大损失，故预期信用损失率为零。</w:t>
      </w:r>
    </w:p>
    <w:p w:rsidR="0058782B" w:rsidRPr="00F50B51" w:rsidRDefault="00F80EE7">
      <w:pPr>
        <w:pStyle w:val="3"/>
        <w:spacing w:line="280" w:lineRule="exact"/>
        <w:jc w:val="left"/>
        <w:rPr>
          <w:rFonts w:ascii="宋体" w:hAnsi="宋体" w:cs="宋体"/>
          <w:b/>
          <w:bCs/>
        </w:rPr>
      </w:pPr>
      <w:bookmarkStart w:id="133" w:name="_Toc989021"/>
      <w:r w:rsidRPr="00F50B51">
        <w:rPr>
          <w:rFonts w:ascii="宋体" w:hAnsi="宋体" w:cs="宋体"/>
          <w:b/>
          <w:bCs/>
        </w:rPr>
        <w:t>14</w:t>
      </w:r>
      <w:r w:rsidRPr="00F50B51">
        <w:rPr>
          <w:rFonts w:ascii="宋体" w:hAnsi="宋体" w:cs="宋体"/>
          <w:b/>
          <w:bCs/>
        </w:rPr>
        <w:t>、其他应收款</w:t>
      </w:r>
      <w:bookmarkEnd w:id="133"/>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其他应收款的预期信用损失的确定方法及会计处理方法</w:t>
      </w:r>
    </w:p>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当单项其他应收款、长期应收款无法以合理成本评估预期信用损失的信息时，公司依据信用风险特征将其他应收款、长期应收款划分为若干组合，在组合基础上计算预期信用损失，确定组合的依</w:t>
      </w:r>
      <w:r w:rsidRPr="00F50B51">
        <w:rPr>
          <w:rFonts w:cs="Times New Roman" w:hint="eastAsia"/>
          <w:sz w:val="21"/>
          <w:szCs w:val="21"/>
        </w:rPr>
        <w:t>据如下</w:t>
      </w:r>
    </w:p>
    <w:tbl>
      <w:tblPr>
        <w:tblW w:w="5000" w:type="pct"/>
        <w:jc w:val="center"/>
        <w:tblCellMar>
          <w:top w:w="15" w:type="dxa"/>
          <w:left w:w="15" w:type="dxa"/>
          <w:bottom w:w="15" w:type="dxa"/>
          <w:right w:w="15" w:type="dxa"/>
        </w:tblCellMar>
        <w:tblLook w:val="04A0"/>
      </w:tblPr>
      <w:tblGrid>
        <w:gridCol w:w="4073"/>
        <w:gridCol w:w="5780"/>
      </w:tblGrid>
      <w:tr w:rsidR="0058782B" w:rsidRPr="00F50B51">
        <w:trPr>
          <w:jc w:val="center"/>
        </w:trPr>
        <w:tc>
          <w:tcPr>
            <w:tcW w:w="20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center"/>
              <w:rPr>
                <w:rFonts w:ascii="Times New Roman" w:hAnsi="Times New Roman" w:cs="Times New Roman"/>
                <w:sz w:val="21"/>
                <w:szCs w:val="21"/>
              </w:rPr>
            </w:pPr>
            <w:r w:rsidRPr="00F50B51">
              <w:rPr>
                <w:rFonts w:cs="Times New Roman" w:hint="eastAsia"/>
                <w:sz w:val="21"/>
                <w:szCs w:val="21"/>
              </w:rPr>
              <w:t>组合</w:t>
            </w:r>
          </w:p>
        </w:tc>
        <w:tc>
          <w:tcPr>
            <w:tcW w:w="29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center"/>
              <w:rPr>
                <w:rFonts w:ascii="Times New Roman" w:hAnsi="Times New Roman" w:cs="Times New Roman"/>
                <w:sz w:val="21"/>
                <w:szCs w:val="21"/>
              </w:rPr>
            </w:pPr>
            <w:r w:rsidRPr="00F50B51">
              <w:rPr>
                <w:rFonts w:cs="Times New Roman" w:hint="eastAsia"/>
                <w:sz w:val="21"/>
                <w:szCs w:val="21"/>
              </w:rPr>
              <w:t>确定组合的依据</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其他应收款组合</w:t>
            </w:r>
            <w:r w:rsidRPr="00F50B51">
              <w:rPr>
                <w:rFonts w:cs="Times New Roman" w:hint="eastAsia"/>
                <w:sz w:val="21"/>
                <w:szCs w:val="21"/>
              </w:rPr>
              <w:t>1</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应收关联方资金占用款</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其他应收款组合</w:t>
            </w:r>
            <w:r w:rsidRPr="00F50B51">
              <w:rPr>
                <w:rFonts w:cs="Times New Roman" w:hint="eastAsia"/>
                <w:sz w:val="21"/>
                <w:szCs w:val="21"/>
              </w:rPr>
              <w:t>2</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应收政府拆迁补偿款</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其他应收款组合</w:t>
            </w:r>
            <w:r w:rsidRPr="00F50B51">
              <w:rPr>
                <w:rFonts w:cs="Times New Roman" w:hint="eastAsia"/>
                <w:sz w:val="21"/>
                <w:szCs w:val="21"/>
              </w:rPr>
              <w:t>3</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应收往来款</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其他应收款组合</w:t>
            </w:r>
            <w:r w:rsidRPr="00F50B51">
              <w:rPr>
                <w:rFonts w:cs="Times New Roman" w:hint="eastAsia"/>
                <w:sz w:val="21"/>
                <w:szCs w:val="21"/>
              </w:rPr>
              <w:t>4</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应收社保及公积金</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其他应收款组合</w:t>
            </w:r>
            <w:r w:rsidRPr="00F50B51">
              <w:rPr>
                <w:rFonts w:cs="Times New Roman" w:hint="eastAsia"/>
                <w:sz w:val="21"/>
                <w:szCs w:val="21"/>
              </w:rPr>
              <w:t>5</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应收员工借款</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其他应收款组合</w:t>
            </w:r>
            <w:r w:rsidRPr="00F50B51">
              <w:rPr>
                <w:rFonts w:cs="Times New Roman" w:hint="eastAsia"/>
                <w:sz w:val="21"/>
                <w:szCs w:val="21"/>
              </w:rPr>
              <w:t>6</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应收押金保证金</w:t>
            </w:r>
          </w:p>
        </w:tc>
      </w:tr>
      <w:tr w:rsidR="0058782B" w:rsidRPr="00F50B51">
        <w:trPr>
          <w:jc w:val="center"/>
        </w:trPr>
        <w:tc>
          <w:tcPr>
            <w:tcW w:w="206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其他应收款组合</w:t>
            </w:r>
            <w:r w:rsidRPr="00F50B51">
              <w:rPr>
                <w:rFonts w:cs="Times New Roman" w:hint="eastAsia"/>
                <w:sz w:val="21"/>
                <w:szCs w:val="21"/>
              </w:rPr>
              <w:t>7</w:t>
            </w:r>
          </w:p>
        </w:tc>
        <w:tc>
          <w:tcPr>
            <w:tcW w:w="2933" w:type="pct"/>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48" w:beforeAutospacing="0" w:after="48" w:afterAutospacing="0" w:line="320" w:lineRule="atLeast"/>
              <w:jc w:val="both"/>
              <w:rPr>
                <w:rFonts w:ascii="Times New Roman" w:hAnsi="Times New Roman" w:cs="Times New Roman"/>
                <w:sz w:val="21"/>
                <w:szCs w:val="21"/>
              </w:rPr>
            </w:pPr>
            <w:r w:rsidRPr="00F50B51">
              <w:rPr>
                <w:rFonts w:cs="Times New Roman" w:hint="eastAsia"/>
                <w:sz w:val="21"/>
                <w:szCs w:val="21"/>
              </w:rPr>
              <w:t>应收其他</w:t>
            </w:r>
          </w:p>
        </w:tc>
      </w:tr>
    </w:tbl>
    <w:p w:rsidR="0058782B" w:rsidRPr="00F50B51" w:rsidRDefault="00F80EE7">
      <w:pPr>
        <w:pStyle w:val="a7"/>
        <w:spacing w:before="120" w:beforeAutospacing="0" w:after="0" w:afterAutospacing="0" w:line="440" w:lineRule="atLeast"/>
        <w:ind w:right="102" w:firstLine="424"/>
        <w:jc w:val="both"/>
        <w:rPr>
          <w:rFonts w:ascii="Times New Roman" w:hAnsi="Times New Roman" w:cs="Times New Roman"/>
          <w:sz w:val="21"/>
          <w:szCs w:val="21"/>
        </w:rPr>
      </w:pPr>
      <w:r w:rsidRPr="00F50B51">
        <w:rPr>
          <w:rFonts w:cs="Times New Roman" w:hint="eastAsia"/>
          <w:sz w:val="21"/>
          <w:szCs w:val="21"/>
        </w:rPr>
        <w:t>对于划分为组合的其他应收款，通过违约风险敞口和未来</w:t>
      </w:r>
      <w:r w:rsidRPr="00F50B51">
        <w:rPr>
          <w:rFonts w:cs="Times New Roman" w:hint="eastAsia"/>
          <w:sz w:val="21"/>
          <w:szCs w:val="21"/>
        </w:rPr>
        <w:t xml:space="preserve"> </w:t>
      </w:r>
      <w:r w:rsidRPr="00F50B51">
        <w:rPr>
          <w:rFonts w:ascii="Times New Roman" w:hAnsi="Times New Roman" w:cs="Times New Roman"/>
          <w:sz w:val="21"/>
          <w:szCs w:val="21"/>
        </w:rPr>
        <w:t xml:space="preserve">12 </w:t>
      </w:r>
      <w:r w:rsidRPr="00F50B51">
        <w:rPr>
          <w:rFonts w:cs="Times New Roman" w:hint="eastAsia"/>
          <w:sz w:val="21"/>
          <w:szCs w:val="21"/>
        </w:rPr>
        <w:t>个月内或整个存续期预期信用损失率，计算预期信用损失。公司将计提或转回的应收款项损失准备计入当期损益。对于持有的以公允价值计量且其变动计入其他综合收益的债务工具，公司在将减值损失或利得计入当期损益的同时调整其他综合收益。</w:t>
      </w:r>
    </w:p>
    <w:p w:rsidR="0058782B" w:rsidRPr="00F50B51" w:rsidRDefault="00F80EE7">
      <w:pPr>
        <w:pStyle w:val="3"/>
        <w:spacing w:line="280" w:lineRule="exact"/>
        <w:jc w:val="left"/>
        <w:rPr>
          <w:rFonts w:ascii="宋体" w:hAnsi="宋体" w:cs="宋体"/>
          <w:b/>
          <w:bCs/>
        </w:rPr>
      </w:pPr>
      <w:bookmarkStart w:id="134" w:name="_Toc989022"/>
      <w:r w:rsidRPr="00F50B51">
        <w:rPr>
          <w:rFonts w:ascii="宋体" w:hAnsi="宋体" w:cs="宋体"/>
          <w:b/>
          <w:bCs/>
        </w:rPr>
        <w:t>15</w:t>
      </w:r>
      <w:r w:rsidRPr="00F50B51">
        <w:rPr>
          <w:rFonts w:ascii="宋体" w:hAnsi="宋体" w:cs="宋体"/>
          <w:b/>
          <w:bCs/>
        </w:rPr>
        <w:t>、存货</w:t>
      </w:r>
      <w:bookmarkEnd w:id="134"/>
    </w:p>
    <w:p w:rsidR="0058782B" w:rsidRPr="00F50B51" w:rsidRDefault="00F80EE7">
      <w:pPr>
        <w:pStyle w:val="a7"/>
        <w:spacing w:before="120" w:beforeAutospacing="0" w:after="0" w:afterAutospacing="0" w:line="40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）存货分类：原材料、在产品、半成品和产成品。</w:t>
      </w:r>
    </w:p>
    <w:p w:rsidR="0058782B" w:rsidRPr="00F50B51" w:rsidRDefault="00F80EE7">
      <w:pPr>
        <w:pStyle w:val="a7"/>
        <w:spacing w:before="120" w:beforeAutospacing="0" w:after="0" w:afterAutospacing="0" w:line="42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）存货计价：</w:t>
      </w:r>
    </w:p>
    <w:p w:rsidR="0058782B" w:rsidRPr="00F50B51" w:rsidRDefault="00F80EE7">
      <w:pPr>
        <w:pStyle w:val="a7"/>
        <w:spacing w:before="120" w:beforeAutospacing="0" w:after="0" w:afterAutospacing="0" w:line="420" w:lineRule="atLeast"/>
        <w:ind w:right="102" w:firstLine="424"/>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、原材料按实际成本入账，领用时按加权平均法核算。</w:t>
      </w:r>
    </w:p>
    <w:p w:rsidR="0058782B" w:rsidRPr="00F50B51" w:rsidRDefault="00F80EE7">
      <w:pPr>
        <w:pStyle w:val="a7"/>
        <w:spacing w:before="120" w:beforeAutospacing="0" w:after="0" w:afterAutospacing="0" w:line="420" w:lineRule="atLeast"/>
        <w:ind w:right="102" w:firstLine="424"/>
        <w:jc w:val="both"/>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、在产品、半成品和产成品按实际成本计价，发出时按加权平均法核算。</w:t>
      </w:r>
    </w:p>
    <w:p w:rsidR="0058782B" w:rsidRPr="00F50B51" w:rsidRDefault="00F80EE7">
      <w:pPr>
        <w:pStyle w:val="a7"/>
        <w:spacing w:before="120" w:beforeAutospacing="0" w:after="0" w:afterAutospacing="0" w:line="42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）存货的盘存制度：采用永续盘存制。</w:t>
      </w:r>
    </w:p>
    <w:p w:rsidR="0058782B" w:rsidRPr="00F50B51" w:rsidRDefault="00F80EE7">
      <w:pPr>
        <w:pStyle w:val="a7"/>
        <w:spacing w:before="120" w:beforeAutospacing="0" w:after="0" w:afterAutospacing="0" w:line="42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4</w:t>
      </w:r>
      <w:r w:rsidRPr="00F50B51">
        <w:rPr>
          <w:rFonts w:cs="Times New Roman" w:hint="eastAsia"/>
          <w:sz w:val="21"/>
          <w:szCs w:val="21"/>
        </w:rPr>
        <w:t>）存货跌价准备的确认和计提：</w:t>
      </w:r>
    </w:p>
    <w:p w:rsidR="0058782B" w:rsidRPr="00F50B51" w:rsidRDefault="00F80EE7">
      <w:pPr>
        <w:pStyle w:val="a7"/>
        <w:spacing w:before="120" w:beforeAutospacing="0" w:after="0" w:afterAutospacing="0" w:line="420" w:lineRule="atLeast"/>
        <w:ind w:right="102" w:firstLine="424"/>
        <w:jc w:val="both"/>
        <w:rPr>
          <w:rFonts w:ascii="Times New Roman" w:hAnsi="Times New Roman" w:cs="Times New Roman"/>
          <w:sz w:val="21"/>
          <w:szCs w:val="21"/>
        </w:rPr>
      </w:pPr>
      <w:r w:rsidRPr="00F50B51">
        <w:rPr>
          <w:rFonts w:cs="Times New Roman" w:hint="eastAsia"/>
          <w:sz w:val="21"/>
          <w:szCs w:val="21"/>
        </w:rPr>
        <w:t>按照单个存货项目以可变现净值低于账面成本差额计提存货跌价准备，并计入当期损益。产成品和用于出售的材料等直接用于出售的，以该存货的估计售价减去估计的销售费用和相关税费后的金额，确定其可变现净值；需要经过加工的材料存货，以所生产的产成品的估计售价减去至完工时估计将要发生的成本、估计的销售费用和相关税费后的金额，确定其可变现净值；同一项存货中一部分有合同价格约定、其他部分不存在合同价格的，则分别确定其可变现净值。计提存货跌价准备后，如果减记存货价值的影响因素已经消失的，减记的金额予以恢复，并在原已计提的存货跌价准</w:t>
      </w:r>
      <w:r w:rsidRPr="00F50B51">
        <w:rPr>
          <w:rFonts w:cs="Times New Roman" w:hint="eastAsia"/>
          <w:sz w:val="21"/>
          <w:szCs w:val="21"/>
        </w:rPr>
        <w:t>备金额内转回，转回的金额计入当期损益。</w:t>
      </w:r>
    </w:p>
    <w:p w:rsidR="0058782B" w:rsidRPr="00F50B51" w:rsidRDefault="00F80EE7">
      <w:pPr>
        <w:pStyle w:val="3"/>
        <w:spacing w:line="280" w:lineRule="exact"/>
        <w:jc w:val="left"/>
        <w:rPr>
          <w:rFonts w:ascii="宋体" w:hAnsi="宋体" w:cs="宋体"/>
          <w:b/>
          <w:bCs/>
        </w:rPr>
      </w:pPr>
      <w:bookmarkStart w:id="135" w:name="_Toc989023"/>
      <w:r w:rsidRPr="00F50B51">
        <w:rPr>
          <w:rFonts w:ascii="宋体" w:hAnsi="宋体" w:cs="宋体"/>
          <w:b/>
          <w:bCs/>
        </w:rPr>
        <w:t>16</w:t>
      </w:r>
      <w:r w:rsidRPr="00F50B51">
        <w:rPr>
          <w:rFonts w:ascii="宋体" w:hAnsi="宋体" w:cs="宋体"/>
          <w:b/>
          <w:bCs/>
        </w:rPr>
        <w:t>、合同资产</w:t>
      </w:r>
      <w:bookmarkEnd w:id="135"/>
    </w:p>
    <w:p w:rsidR="0058782B" w:rsidRPr="00F50B51" w:rsidRDefault="00F80EE7">
      <w:pPr>
        <w:pStyle w:val="a7"/>
        <w:spacing w:before="120" w:beforeAutospacing="0" w:after="0" w:afterAutospacing="0" w:line="42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）合同资产的确认方法及标准</w:t>
      </w:r>
    </w:p>
    <w:p w:rsidR="0058782B" w:rsidRPr="00F50B51" w:rsidRDefault="00F80EE7">
      <w:pPr>
        <w:pStyle w:val="a7"/>
        <w:spacing w:before="120" w:beforeAutospacing="0" w:after="0" w:afterAutospacing="0" w:line="420" w:lineRule="atLeast"/>
        <w:ind w:right="102" w:firstLine="424"/>
        <w:jc w:val="both"/>
        <w:rPr>
          <w:rFonts w:ascii="Times New Roman" w:hAnsi="Times New Roman" w:cs="Times New Roman"/>
          <w:sz w:val="21"/>
          <w:szCs w:val="21"/>
        </w:rPr>
      </w:pPr>
      <w:r w:rsidRPr="00F50B51">
        <w:rPr>
          <w:rFonts w:cs="Times New Roman" w:hint="eastAsia"/>
          <w:sz w:val="21"/>
          <w:szCs w:val="21"/>
        </w:rPr>
        <w:t>本公司根据履行履约义务与客户付款之间的关系在资产负债表中列示合同资产或合同负债。本公司已向客户转让商品或提供服务而有权收取对价的权利（且该权利取决于时间流逝之外的其他因素）列示为合同资产。同一合同下的合同资产和合同负债以净额列示。本公司拥有的、无条件（仅取决于时间流逝）向客户收取对价的权利作为应收款项单独列示。</w:t>
      </w:r>
    </w:p>
    <w:p w:rsidR="0058782B" w:rsidRPr="00F50B51" w:rsidRDefault="00F80EE7">
      <w:pPr>
        <w:pStyle w:val="a7"/>
        <w:spacing w:before="120" w:beforeAutospacing="0" w:after="0" w:afterAutospacing="0" w:line="42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）合同资产的预期信用损失的确定方法及会计处理方法详见“五、重要会计政策及会计估计之</w:t>
      </w:r>
      <w:r w:rsidRPr="00F50B51">
        <w:rPr>
          <w:rFonts w:ascii="Times New Roman" w:hAnsi="Times New Roman" w:cs="Times New Roman"/>
          <w:sz w:val="21"/>
          <w:szCs w:val="21"/>
        </w:rPr>
        <w:t>10</w:t>
      </w:r>
      <w:r w:rsidRPr="00F50B51">
        <w:rPr>
          <w:rFonts w:cs="Times New Roman" w:hint="eastAsia"/>
          <w:sz w:val="21"/>
          <w:szCs w:val="21"/>
        </w:rPr>
        <w:t>、金融工具”。</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136" w:name="_Toc989024"/>
      <w:r w:rsidRPr="00F50B51">
        <w:rPr>
          <w:rFonts w:ascii="宋体" w:hAnsi="宋体" w:cs="宋体"/>
          <w:b/>
          <w:bCs/>
        </w:rPr>
        <w:t>1</w:t>
      </w:r>
      <w:r w:rsidRPr="00F50B51">
        <w:rPr>
          <w:rFonts w:ascii="宋体" w:hAnsi="宋体" w:cs="宋体"/>
          <w:b/>
          <w:bCs/>
        </w:rPr>
        <w:t>7</w:t>
      </w:r>
      <w:r w:rsidRPr="00F50B51">
        <w:rPr>
          <w:rFonts w:ascii="宋体" w:hAnsi="宋体" w:cs="宋体"/>
          <w:b/>
          <w:bCs/>
        </w:rPr>
        <w:t>、合同成本</w:t>
      </w:r>
      <w:bookmarkEnd w:id="136"/>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合同成本包括合同履约成本与合同取得成本。</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本公司为履行合同而发生的成本，不属于存货、固定资产或无形资产等相关准则规范范围的，在满足下列条件时作为合同履约成本确认为一项资产：</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）该成本与一份当前或预期取得的合同直接相关；</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）该成本增加了本公司未来用于履行履约义务的资源；</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）该成本预期能够收回。</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本公司为取得合同发生的增量成本预期能够收回的，作为合同取得成本确认为一项资产。</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与合同成本有关的资产采用与该资产相关的商品或服务收入确认相同的基础进行摊销；但是对于合同取得成本摊销期限未超过一年的，本公司在发生时将其计入当期损益。</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与合同成本有关的资产，其账面价值高于下列两项的差额的，本公司对超出部分计提减值准备，并确认为资产减值损失：</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）因转让与该资产相关的商品或服务预期能够取得的剩余对价；</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）为转让该相关商品或服务估计将要发生的成本。</w:t>
      </w:r>
    </w:p>
    <w:p w:rsidR="0058782B" w:rsidRPr="00F50B51" w:rsidRDefault="00F80EE7">
      <w:pPr>
        <w:pStyle w:val="a7"/>
        <w:spacing w:before="0" w:beforeAutospacing="0" w:after="0" w:afterAutospacing="0"/>
        <w:jc w:val="both"/>
        <w:rPr>
          <w:rFonts w:ascii="Times New Roman" w:hAnsi="Times New Roman" w:cs="Times New Roman"/>
          <w:sz w:val="21"/>
          <w:szCs w:val="21"/>
        </w:rPr>
      </w:pPr>
      <w:r w:rsidRPr="00F50B51">
        <w:rPr>
          <w:rFonts w:cs="Times New Roman" w:hint="eastAsia"/>
          <w:sz w:val="21"/>
          <w:szCs w:val="21"/>
        </w:rPr>
        <w:t>以前期间减值的因素之后发生变化，使得前述差额高于该资产账面价值的，本公司转回原已计提的减值准备，并计入当期损益，但转回后的资产账面价值不超过</w:t>
      </w:r>
      <w:r w:rsidRPr="00F50B51">
        <w:rPr>
          <w:rFonts w:cs="Times New Roman" w:hint="eastAsia"/>
          <w:sz w:val="21"/>
          <w:szCs w:val="21"/>
        </w:rPr>
        <w:t>假定不计提减值准备情况下该资产在转回日的账面价值。</w:t>
      </w:r>
    </w:p>
    <w:p w:rsidR="0058782B" w:rsidRPr="00F50B51" w:rsidRDefault="00F80EE7">
      <w:pPr>
        <w:pStyle w:val="3"/>
        <w:spacing w:line="280" w:lineRule="exact"/>
        <w:jc w:val="left"/>
        <w:rPr>
          <w:rFonts w:ascii="宋体" w:hAnsi="宋体" w:cs="宋体"/>
          <w:b/>
          <w:bCs/>
        </w:rPr>
      </w:pPr>
      <w:bookmarkStart w:id="137" w:name="_Toc989025"/>
      <w:r w:rsidRPr="00F50B51">
        <w:rPr>
          <w:rFonts w:ascii="宋体" w:hAnsi="宋体" w:cs="宋体"/>
          <w:b/>
          <w:bCs/>
        </w:rPr>
        <w:t>18</w:t>
      </w:r>
      <w:r w:rsidRPr="00F50B51">
        <w:rPr>
          <w:rFonts w:ascii="宋体" w:hAnsi="宋体" w:cs="宋体"/>
          <w:b/>
          <w:bCs/>
        </w:rPr>
        <w:t>、持有待售资产</w:t>
      </w:r>
      <w:bookmarkEnd w:id="137"/>
    </w:p>
    <w:p w:rsidR="0058782B" w:rsidRPr="00F50B51" w:rsidRDefault="00F80EE7">
      <w:pPr>
        <w:pStyle w:val="a7"/>
        <w:spacing w:before="120" w:beforeAutospacing="0" w:after="0" w:afterAutospacing="0" w:line="420" w:lineRule="atLeast"/>
        <w:ind w:right="102" w:firstLine="424"/>
        <w:jc w:val="both"/>
        <w:rPr>
          <w:rFonts w:ascii="Times New Roman" w:hAnsi="Times New Roman" w:cs="Times New Roman"/>
          <w:sz w:val="21"/>
          <w:szCs w:val="21"/>
        </w:rPr>
      </w:pPr>
      <w:r w:rsidRPr="00F50B51">
        <w:rPr>
          <w:rFonts w:cs="Times New Roman" w:hint="eastAsia"/>
          <w:sz w:val="21"/>
          <w:szCs w:val="21"/>
        </w:rPr>
        <w:t>本公司将同时满足下列条件的非流动资产或处置组划分为持有待售类别：</w:t>
      </w:r>
    </w:p>
    <w:p w:rsidR="0058782B" w:rsidRPr="00F50B51" w:rsidRDefault="00F80EE7">
      <w:pPr>
        <w:pStyle w:val="a7"/>
        <w:spacing w:before="120" w:beforeAutospacing="0" w:after="0" w:afterAutospacing="0" w:line="42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）根据类似交易中出售此类资产或处置组的惯例，在当前状况下即可立即出售；</w:t>
      </w:r>
    </w:p>
    <w:p w:rsidR="0058782B" w:rsidRPr="00F50B51" w:rsidRDefault="00F80EE7">
      <w:pPr>
        <w:pStyle w:val="a7"/>
        <w:spacing w:before="120" w:beforeAutospacing="0" w:after="0" w:afterAutospacing="0" w:line="420" w:lineRule="atLeast"/>
        <w:ind w:right="102"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）出售极可能发生，即本公司已经就一项出售计划作出决议且获得确定的购买承诺，预计出售将在一年内完成。有关规定要求本公司相关权力机构或者监管部门批准后方可出售的，已经获得批准。</w:t>
      </w:r>
    </w:p>
    <w:p w:rsidR="0058782B" w:rsidRPr="00F50B51" w:rsidRDefault="00F80EE7">
      <w:pPr>
        <w:pStyle w:val="a7"/>
        <w:spacing w:before="120" w:beforeAutospacing="0" w:after="0" w:afterAutospacing="0" w:line="420" w:lineRule="atLeast"/>
        <w:ind w:right="102" w:firstLine="424"/>
        <w:jc w:val="both"/>
        <w:rPr>
          <w:rFonts w:ascii="Times New Roman" w:hAnsi="Times New Roman" w:cs="Times New Roman"/>
          <w:sz w:val="21"/>
          <w:szCs w:val="21"/>
        </w:rPr>
      </w:pPr>
      <w:r w:rsidRPr="00F50B51">
        <w:rPr>
          <w:rFonts w:cs="Times New Roman" w:hint="eastAsia"/>
          <w:sz w:val="21"/>
          <w:szCs w:val="21"/>
        </w:rPr>
        <w:t>确定的购买承诺，是指企业与其他方签订的具有法律约束力的购买协议，该协议包含交易价格、时间和足够严厉的违约惩罚等重要条款，使协议出现重大调整或者撤销的可能性极小。</w:t>
      </w:r>
    </w:p>
    <w:p w:rsidR="0058782B" w:rsidRPr="00F50B51" w:rsidRDefault="00F80EE7">
      <w:pPr>
        <w:pStyle w:val="3"/>
        <w:spacing w:line="280" w:lineRule="exact"/>
        <w:jc w:val="left"/>
        <w:rPr>
          <w:rFonts w:ascii="宋体" w:hAnsi="宋体" w:cs="宋体"/>
          <w:b/>
          <w:bCs/>
        </w:rPr>
      </w:pPr>
      <w:bookmarkStart w:id="138" w:name="_Toc989026"/>
      <w:r w:rsidRPr="00F50B51">
        <w:rPr>
          <w:rFonts w:ascii="宋体" w:hAnsi="宋体" w:cs="宋体"/>
          <w:b/>
          <w:bCs/>
        </w:rPr>
        <w:t>19</w:t>
      </w:r>
      <w:r w:rsidRPr="00F50B51">
        <w:rPr>
          <w:rFonts w:ascii="宋体" w:hAnsi="宋体" w:cs="宋体"/>
          <w:b/>
          <w:bCs/>
        </w:rPr>
        <w:t>、债权投资</w:t>
      </w:r>
      <w:bookmarkEnd w:id="138"/>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139" w:name="_Toc989027"/>
      <w:r w:rsidRPr="00F50B51">
        <w:rPr>
          <w:rFonts w:ascii="宋体" w:hAnsi="宋体" w:cs="宋体"/>
          <w:b/>
          <w:bCs/>
        </w:rPr>
        <w:t>20</w:t>
      </w:r>
      <w:r w:rsidRPr="00F50B51">
        <w:rPr>
          <w:rFonts w:ascii="宋体" w:hAnsi="宋体" w:cs="宋体"/>
          <w:b/>
          <w:bCs/>
        </w:rPr>
        <w:t>、其他债权投资</w:t>
      </w:r>
      <w:bookmarkEnd w:id="139"/>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140" w:name="_Toc989028"/>
      <w:r w:rsidRPr="00F50B51">
        <w:rPr>
          <w:rFonts w:ascii="宋体" w:hAnsi="宋体" w:cs="宋体"/>
          <w:b/>
          <w:bCs/>
        </w:rPr>
        <w:t>21</w:t>
      </w:r>
      <w:r w:rsidRPr="00F50B51">
        <w:rPr>
          <w:rFonts w:ascii="宋体" w:hAnsi="宋体" w:cs="宋体"/>
          <w:b/>
          <w:bCs/>
        </w:rPr>
        <w:t>、长期应收款</w:t>
      </w:r>
      <w:bookmarkEnd w:id="140"/>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141" w:name="_Toc989029"/>
      <w:r w:rsidRPr="00F50B51">
        <w:rPr>
          <w:rFonts w:ascii="宋体" w:hAnsi="宋体" w:cs="宋体"/>
          <w:b/>
          <w:bCs/>
        </w:rPr>
        <w:t>22</w:t>
      </w:r>
      <w:r w:rsidRPr="00F50B51">
        <w:rPr>
          <w:rFonts w:ascii="宋体" w:hAnsi="宋体" w:cs="宋体"/>
          <w:b/>
          <w:bCs/>
        </w:rPr>
        <w:t>、长期股权投资</w:t>
      </w:r>
      <w:bookmarkEnd w:id="141"/>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）长期股权投资的分类</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公司的长期股权投资包括对子公司的投资和对合营企业、联营企业的投资。</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）投资成本的确定</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同一控制下的企业合并形成的，合并方以支付现金、转让非现金资产、承担债务或发行权益性证券作为合并对价的，在合并日按照取得被合并方所有者权益在最终控制方合并财务报表中的账面价值的份额作为其初始投资成本。长期股权投资初始投资成本与支付的现金、转让的非现金资产以及所承担债务账面价值之间的差额调整资本公积；资本公积不足冲减的，调整留存收益。</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公司通过多次交易分步实现同一控制下企业合并形成的长期股权投资，在个别财务报表和合并财务报表中，将按持股比例享有在合并日被合并方所有者权益账面价值的份额作为初始投资成本。合并日之</w:t>
      </w:r>
      <w:r w:rsidRPr="00F50B51">
        <w:rPr>
          <w:rFonts w:cs="Times New Roman" w:hint="eastAsia"/>
          <w:sz w:val="21"/>
          <w:szCs w:val="21"/>
        </w:rPr>
        <w:t>前所持被合并方的股权投资账面价值加上合并日新增投资成本，与长期股权投资初始投资成本之间的差额调整资本公积；资本公积不足冲减的，调整留存收益。</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、非同一控制下的企业合并形成的，在购买日按照支付的合并对价的公允价值作为其初始投资成本。公司通过多次交易分步实现非同一控制下企业合并形成的长期股权投资，</w:t>
      </w:r>
      <w:r w:rsidRPr="00F50B51">
        <w:rPr>
          <w:rFonts w:cs="Times New Roman" w:hint="eastAsia"/>
          <w:sz w:val="21"/>
          <w:szCs w:val="21"/>
        </w:rPr>
        <w:t xml:space="preserve"> </w:t>
      </w:r>
      <w:r w:rsidRPr="00F50B51">
        <w:rPr>
          <w:rFonts w:cs="Times New Roman" w:hint="eastAsia"/>
          <w:sz w:val="21"/>
          <w:szCs w:val="21"/>
        </w:rPr>
        <w:t>区分个别财务报表和合并财务报表进行相关会计处理：</w:t>
      </w:r>
      <w:r w:rsidRPr="00F50B51">
        <w:rPr>
          <w:rFonts w:ascii="Times New Roman" w:hAnsi="Times New Roman" w:cs="Times New Roman"/>
          <w:sz w:val="21"/>
          <w:szCs w:val="21"/>
        </w:rPr>
        <w:t xml:space="preserve">1) </w:t>
      </w:r>
      <w:r w:rsidRPr="00F50B51">
        <w:rPr>
          <w:rFonts w:cs="Times New Roman" w:hint="eastAsia"/>
          <w:sz w:val="21"/>
          <w:szCs w:val="21"/>
        </w:rPr>
        <w:t>在个别财务报表中，以购买日之前所持被购买方的股权投资的账面价值与购买日新增投资成本之和，作为该项投资的初始投资成本；购买日之前持有的被购买方的股权涉及其他综合收</w:t>
      </w:r>
      <w:r w:rsidRPr="00F50B51">
        <w:rPr>
          <w:rFonts w:cs="Times New Roman" w:hint="eastAsia"/>
          <w:sz w:val="21"/>
          <w:szCs w:val="21"/>
        </w:rPr>
        <w:t>益的，在处置该项投资时将与其相关的其他综合收益转入当期投资收益。</w:t>
      </w:r>
      <w:r w:rsidRPr="00F50B51">
        <w:rPr>
          <w:rFonts w:ascii="Times New Roman" w:hAnsi="Times New Roman" w:cs="Times New Roman"/>
          <w:sz w:val="21"/>
          <w:szCs w:val="21"/>
        </w:rPr>
        <w:t xml:space="preserve">2) </w:t>
      </w:r>
      <w:r w:rsidRPr="00F50B51">
        <w:rPr>
          <w:rFonts w:cs="Times New Roman" w:hint="eastAsia"/>
          <w:sz w:val="21"/>
          <w:szCs w:val="21"/>
        </w:rPr>
        <w:t>在合并财务报表中，对于购买日之前持有的被购买方的股权，按照该股权在购买日的公允价值进行重新计量，公允价值与其账面价值的差额计入当期投资收益；</w:t>
      </w:r>
      <w:r w:rsidRPr="00F50B51">
        <w:rPr>
          <w:rFonts w:cs="Times New Roman" w:hint="eastAsia"/>
          <w:sz w:val="21"/>
          <w:szCs w:val="21"/>
        </w:rPr>
        <w:t xml:space="preserve"> </w:t>
      </w:r>
      <w:r w:rsidRPr="00F50B51">
        <w:rPr>
          <w:rFonts w:cs="Times New Roman" w:hint="eastAsia"/>
          <w:sz w:val="21"/>
          <w:szCs w:val="21"/>
        </w:rPr>
        <w:t>购买日之前持有的被购买方的股权涉及其他综合收益的，与其相关的其他综合收益转为购买日所属当期投资收益。</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ascii="Times New Roman" w:hAnsi="Times New Roman" w:cs="Times New Roman"/>
          <w:sz w:val="21"/>
          <w:szCs w:val="21"/>
        </w:rPr>
        <w:t>C</w:t>
      </w:r>
      <w:r w:rsidRPr="00F50B51">
        <w:rPr>
          <w:rFonts w:cs="Times New Roman" w:hint="eastAsia"/>
          <w:sz w:val="21"/>
          <w:szCs w:val="21"/>
        </w:rPr>
        <w:t>、除企业合并形成以外的：以支付现金取得的长期股权投资，按照实际支付的购买价款作为投资成本。投资成本包括与取得长期股权投资直接相关的费用、税金及其他必要支出；发行权益性证券取得的长期股权投资，按照发</w:t>
      </w:r>
      <w:r w:rsidRPr="00F50B51">
        <w:rPr>
          <w:rFonts w:cs="Times New Roman" w:hint="eastAsia"/>
          <w:sz w:val="21"/>
          <w:szCs w:val="21"/>
        </w:rPr>
        <w:t>行权益性证券的公允价值作为投资成本；通过非货币性资产交换取得的长期股权投资，其初始投资成本按照《企业会计准则第</w:t>
      </w:r>
      <w:r w:rsidRPr="00F50B51">
        <w:rPr>
          <w:rFonts w:ascii="Times New Roman" w:hAnsi="Times New Roman" w:cs="Times New Roman"/>
          <w:sz w:val="21"/>
          <w:szCs w:val="21"/>
        </w:rPr>
        <w:t>7</w:t>
      </w:r>
      <w:r w:rsidRPr="00F50B51">
        <w:rPr>
          <w:rFonts w:cs="Times New Roman" w:hint="eastAsia"/>
          <w:sz w:val="21"/>
          <w:szCs w:val="21"/>
        </w:rPr>
        <w:t>号——非货币性资产交换》确定；通过债务重组取得的长期股权投资，其初始投资成本按照《企业会计准则第</w:t>
      </w:r>
      <w:r w:rsidRPr="00F50B51">
        <w:rPr>
          <w:rFonts w:ascii="Times New Roman" w:hAnsi="Times New Roman" w:cs="Times New Roman"/>
          <w:sz w:val="21"/>
          <w:szCs w:val="21"/>
        </w:rPr>
        <w:t>12</w:t>
      </w:r>
      <w:r w:rsidRPr="00F50B51">
        <w:rPr>
          <w:rFonts w:cs="Times New Roman" w:hint="eastAsia"/>
          <w:sz w:val="21"/>
          <w:szCs w:val="21"/>
        </w:rPr>
        <w:t>号——债务重组》确定。</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）后续计量及损益确认方法</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对被投资单位能够实施控制的长期股权投资采用成本法核算；对具有共同控制、重大影响的长期股权投资，采用权益法核算。</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4</w:t>
      </w:r>
      <w:r w:rsidRPr="00F50B51">
        <w:rPr>
          <w:rFonts w:cs="Times New Roman" w:hint="eastAsia"/>
          <w:sz w:val="21"/>
          <w:szCs w:val="21"/>
        </w:rPr>
        <w:t>）确定对被投资单位具有重大影响的依据</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对被投资单位的财务和经营政策有参与决策的权力，但并不能够控制或者与其他方一起共同控制这些政策</w:t>
      </w:r>
      <w:r w:rsidRPr="00F50B51">
        <w:rPr>
          <w:rFonts w:cs="Times New Roman" w:hint="eastAsia"/>
          <w:sz w:val="21"/>
          <w:szCs w:val="21"/>
        </w:rPr>
        <w:t>的制定的，认定为重大影响。</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5</w:t>
      </w:r>
      <w:r w:rsidRPr="00F50B51">
        <w:rPr>
          <w:rFonts w:cs="Times New Roman" w:hint="eastAsia"/>
          <w:sz w:val="21"/>
          <w:szCs w:val="21"/>
        </w:rPr>
        <w:t>）确定对被投资单位具有共同控制的依据</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共同控制是指，是指按照相关约定对某项安排所共有的控制，并且该安排的相关活动必须经过分享控制权的参与方一致同意后才能决策。</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6</w:t>
      </w:r>
      <w:r w:rsidRPr="00F50B51">
        <w:rPr>
          <w:rFonts w:cs="Times New Roman" w:hint="eastAsia"/>
          <w:sz w:val="21"/>
          <w:szCs w:val="21"/>
        </w:rPr>
        <w:t>）减值测试方法及减值准备计提方法</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对子公司、联营企业及合营企业的投资，在资产负债表日有客观证据表明其发生减值的，按照账面价值高于可收回金额的差额计提相应的减值准备。</w:t>
      </w:r>
    </w:p>
    <w:p w:rsidR="0058782B" w:rsidRPr="00F50B51" w:rsidRDefault="00F80EE7">
      <w:pPr>
        <w:pStyle w:val="3"/>
        <w:spacing w:line="280" w:lineRule="exact"/>
        <w:jc w:val="left"/>
        <w:rPr>
          <w:rFonts w:ascii="宋体" w:hAnsi="宋体" w:cs="宋体"/>
          <w:b/>
          <w:bCs/>
        </w:rPr>
      </w:pPr>
      <w:bookmarkStart w:id="142" w:name="_Toc989030"/>
      <w:r w:rsidRPr="00F50B51">
        <w:rPr>
          <w:rFonts w:ascii="宋体" w:hAnsi="宋体" w:cs="宋体"/>
          <w:b/>
          <w:bCs/>
        </w:rPr>
        <w:t>23</w:t>
      </w:r>
      <w:r w:rsidRPr="00F50B51">
        <w:rPr>
          <w:rFonts w:ascii="宋体" w:hAnsi="宋体" w:cs="宋体"/>
          <w:b/>
          <w:bCs/>
        </w:rPr>
        <w:t>、投资性房地产</w:t>
      </w:r>
      <w:bookmarkEnd w:id="142"/>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投资性房地产计量模式</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成本法计量</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折旧或摊销方法</w:t>
      </w:r>
    </w:p>
    <w:p w:rsidR="0058782B" w:rsidRPr="00F50B51" w:rsidRDefault="00F80EE7">
      <w:pPr>
        <w:pStyle w:val="a7"/>
        <w:spacing w:before="120" w:beforeAutospacing="0" w:after="0" w:afterAutospacing="0" w:line="440" w:lineRule="atLeast"/>
        <w:ind w:firstLine="425"/>
        <w:jc w:val="both"/>
        <w:rPr>
          <w:rFonts w:ascii="Times New Roman" w:hAnsi="Times New Roman" w:cs="Times New Roman"/>
          <w:sz w:val="21"/>
          <w:szCs w:val="21"/>
        </w:rPr>
      </w:pPr>
      <w:r w:rsidRPr="00F50B51">
        <w:rPr>
          <w:rFonts w:cs="Times New Roman" w:hint="eastAsia"/>
          <w:sz w:val="21"/>
          <w:szCs w:val="21"/>
        </w:rPr>
        <w:t>投资性房地产包括已出租的土地使用权、持有并准备增值后转让的土地使用权以及已出租的建筑物。当公司能够取得与投资性房地产相关的租金收入或增值收益以及投资性房地产的成本能够可靠计量时，公司按购置或建造的实际支出对其进行初始计量。</w:t>
      </w:r>
    </w:p>
    <w:p w:rsidR="0058782B" w:rsidRPr="00F50B51" w:rsidRDefault="00F80EE7">
      <w:pPr>
        <w:pStyle w:val="a7"/>
        <w:spacing w:before="120" w:beforeAutospacing="0" w:after="0" w:afterAutospacing="0" w:line="440" w:lineRule="atLeast"/>
        <w:ind w:firstLine="424"/>
        <w:rPr>
          <w:rFonts w:ascii="Times New Roman" w:hAnsi="Times New Roman" w:cs="Times New Roman"/>
          <w:sz w:val="21"/>
          <w:szCs w:val="21"/>
        </w:rPr>
      </w:pPr>
      <w:r w:rsidRPr="00F50B51">
        <w:rPr>
          <w:rFonts w:cs="Times New Roman" w:hint="eastAsia"/>
          <w:sz w:val="21"/>
          <w:szCs w:val="21"/>
        </w:rPr>
        <w:t>一般情况下，公司对投资性房地产的后续支出采用成本模式进行后续计量，按照固定资产或无形资产的会计政策，计提折旧或进行摊销。资产负债表日，有迹象表明投资性房地产发生减值的，按本财务报表附注三</w:t>
      </w:r>
      <w:r w:rsidRPr="00F50B51">
        <w:rPr>
          <w:rFonts w:ascii="Times New Roman" w:hAnsi="Times New Roman" w:cs="Times New Roman"/>
          <w:sz w:val="21"/>
          <w:szCs w:val="21"/>
        </w:rPr>
        <w:t>-20</w:t>
      </w:r>
      <w:r w:rsidRPr="00F50B51">
        <w:rPr>
          <w:rFonts w:cs="Times New Roman" w:hint="eastAsia"/>
          <w:sz w:val="21"/>
          <w:szCs w:val="21"/>
        </w:rPr>
        <w:t>所述方法计提投资性房地产减值准备。投资性房地产减值损失一经确认，在以后会计期间不再转回。</w:t>
      </w:r>
    </w:p>
    <w:p w:rsidR="0058782B" w:rsidRPr="00F50B51" w:rsidRDefault="00F80EE7">
      <w:pPr>
        <w:pStyle w:val="3"/>
        <w:spacing w:line="280" w:lineRule="exact"/>
        <w:jc w:val="left"/>
        <w:rPr>
          <w:rFonts w:ascii="宋体" w:hAnsi="宋体" w:cs="宋体"/>
          <w:b/>
          <w:bCs/>
        </w:rPr>
      </w:pPr>
      <w:bookmarkStart w:id="143" w:name="_Toc989031"/>
      <w:r w:rsidRPr="00F50B51">
        <w:rPr>
          <w:rFonts w:ascii="宋体" w:hAnsi="宋体" w:cs="宋体"/>
          <w:b/>
          <w:bCs/>
        </w:rPr>
        <w:t>24</w:t>
      </w:r>
      <w:r w:rsidRPr="00F50B51">
        <w:rPr>
          <w:rFonts w:ascii="宋体" w:hAnsi="宋体" w:cs="宋体"/>
          <w:b/>
          <w:bCs/>
        </w:rPr>
        <w:t>、固定资产</w:t>
      </w:r>
      <w:bookmarkEnd w:id="143"/>
    </w:p>
    <w:p w:rsidR="0058782B" w:rsidRPr="00F50B51" w:rsidRDefault="00F80EE7">
      <w:pPr>
        <w:keepNext/>
        <w:keepLines/>
        <w:spacing w:before="300" w:after="300" w:line="280" w:lineRule="exact"/>
        <w:outlineLvl w:val="3"/>
        <w:rPr>
          <w:rFonts w:ascii="宋体" w:eastAsia="宋体" w:hAnsi="宋体" w:cs="宋体"/>
          <w:b/>
          <w:bCs/>
          <w:szCs w:val="21"/>
        </w:rPr>
      </w:pPr>
      <w:bookmarkStart w:id="144" w:name="_Toc989032"/>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确认条件</w:t>
      </w:r>
      <w:bookmarkEnd w:id="144"/>
    </w:p>
    <w:p w:rsidR="0058782B" w:rsidRPr="00F50B51" w:rsidRDefault="00F80EE7">
      <w:pPr>
        <w:pStyle w:val="a7"/>
        <w:spacing w:line="240" w:lineRule="atLeast"/>
        <w:rPr>
          <w:sz w:val="18"/>
          <w:szCs w:val="18"/>
        </w:rPr>
      </w:pPr>
      <w:r w:rsidRPr="00F50B51">
        <w:rPr>
          <w:rFonts w:hint="eastAsia"/>
          <w:sz w:val="18"/>
          <w:szCs w:val="18"/>
        </w:rPr>
        <w:t>同时满足与该固定资产有关的经济利益很可能流入企业和该固定资产的成本能够可靠地计量条件的，为生产商品、提供劳务、出租或经营管理而持有的使用寿命超过一个会计年度的有形资产。</w:t>
      </w:r>
    </w:p>
    <w:p w:rsidR="0058782B" w:rsidRPr="00F50B51" w:rsidRDefault="00F80EE7">
      <w:pPr>
        <w:keepNext/>
        <w:keepLines/>
        <w:spacing w:before="300" w:after="300" w:line="280" w:lineRule="exact"/>
        <w:outlineLvl w:val="3"/>
        <w:rPr>
          <w:rFonts w:ascii="宋体" w:eastAsia="宋体" w:hAnsi="宋体" w:cs="宋体"/>
          <w:b/>
          <w:bCs/>
          <w:szCs w:val="21"/>
        </w:rPr>
      </w:pPr>
      <w:bookmarkStart w:id="145" w:name="_Toc989033"/>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折旧方法</w:t>
      </w:r>
      <w:bookmarkEnd w:id="145"/>
    </w:p>
    <w:p w:rsidR="0058782B" w:rsidRPr="00F50B51" w:rsidRDefault="0058782B">
      <w:pPr>
        <w:spacing w:line="0" w:lineRule="atLeast"/>
      </w:pP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类别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折旧方法</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折旧年限</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残值率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年折旧率</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房屋建筑物</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20-40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2.43%-4.85%</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机器设备</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5-10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9.70%-19.40%</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运输设备</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5-10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9.70%-19.40%</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办公设备</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2-10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9.70%-48.50%</w:t>
            </w:r>
          </w:p>
        </w:tc>
      </w:tr>
    </w:tbl>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146" w:name="_Toc989034"/>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融资租入固定资产的认定依据、计价和折旧方法</w:t>
      </w:r>
      <w:bookmarkEnd w:id="146"/>
    </w:p>
    <w:p w:rsidR="0058782B" w:rsidRPr="00F50B51" w:rsidRDefault="0058782B"/>
    <w:p w:rsidR="0058782B" w:rsidRPr="00F50B51" w:rsidRDefault="00F80EE7">
      <w:pPr>
        <w:pStyle w:val="3"/>
        <w:spacing w:line="280" w:lineRule="exact"/>
        <w:jc w:val="left"/>
        <w:rPr>
          <w:rFonts w:ascii="宋体" w:hAnsi="宋体" w:cs="宋体"/>
          <w:b/>
          <w:bCs/>
        </w:rPr>
      </w:pPr>
      <w:bookmarkStart w:id="147" w:name="_Toc989035"/>
      <w:r w:rsidRPr="00F50B51">
        <w:rPr>
          <w:rFonts w:ascii="宋体" w:hAnsi="宋体" w:cs="宋体"/>
          <w:b/>
          <w:bCs/>
        </w:rPr>
        <w:t>25</w:t>
      </w:r>
      <w:r w:rsidRPr="00F50B51">
        <w:rPr>
          <w:rFonts w:ascii="宋体" w:hAnsi="宋体" w:cs="宋体"/>
          <w:b/>
          <w:bCs/>
        </w:rPr>
        <w:t>、在建工程</w:t>
      </w:r>
      <w:bookmarkEnd w:id="147"/>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）在建工程的类别</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公司在建工程包括建筑工程、安装工程、技术改造工程和大修理工程等。</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）在建工程的计量</w:t>
      </w:r>
    </w:p>
    <w:p w:rsidR="0058782B" w:rsidRPr="00F50B51" w:rsidRDefault="00F80EE7">
      <w:pPr>
        <w:pStyle w:val="a7"/>
        <w:spacing w:before="120" w:beforeAutospacing="0" w:after="0" w:afterAutospacing="0" w:line="420" w:lineRule="atLeast"/>
        <w:ind w:firstLine="424"/>
        <w:jc w:val="both"/>
        <w:rPr>
          <w:rFonts w:ascii="Times New Roman" w:hAnsi="Times New Roman" w:cs="Times New Roman"/>
          <w:sz w:val="21"/>
          <w:szCs w:val="21"/>
        </w:rPr>
      </w:pPr>
      <w:r w:rsidRPr="00F50B51">
        <w:rPr>
          <w:rFonts w:cs="Times New Roman" w:hint="eastAsia"/>
          <w:sz w:val="21"/>
          <w:szCs w:val="21"/>
        </w:rPr>
        <w:t>在建工程按实际成本计价，实际成本由建造该项资产达到预定可使用状态前所发生的必要支出构成，包括所发生的直接建筑、安装成本及所借入款项的实际承担的利息支出、汇兑损益等。</w:t>
      </w:r>
    </w:p>
    <w:p w:rsidR="0058782B" w:rsidRPr="00F50B51" w:rsidRDefault="00F80EE7">
      <w:pPr>
        <w:pStyle w:val="a7"/>
        <w:spacing w:before="120" w:beforeAutospacing="0" w:after="0" w:afterAutospacing="0" w:line="42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）在建工程结转为固定资产的时点</w:t>
      </w:r>
    </w:p>
    <w:p w:rsidR="0058782B" w:rsidRPr="00F50B51" w:rsidRDefault="00F80EE7">
      <w:pPr>
        <w:pStyle w:val="a7"/>
        <w:spacing w:before="120" w:beforeAutospacing="0" w:after="0" w:afterAutospacing="0" w:line="420" w:lineRule="atLeast"/>
        <w:ind w:firstLine="420"/>
        <w:jc w:val="both"/>
        <w:rPr>
          <w:rFonts w:ascii="Times New Roman" w:hAnsi="Times New Roman" w:cs="Times New Roman"/>
          <w:sz w:val="21"/>
          <w:szCs w:val="21"/>
        </w:rPr>
      </w:pPr>
      <w:r w:rsidRPr="00F50B51">
        <w:rPr>
          <w:rFonts w:cs="Times New Roman" w:hint="eastAsia"/>
          <w:sz w:val="21"/>
          <w:szCs w:val="21"/>
        </w:rPr>
        <w:t>在建工程按各项工程所发生的实际支出核算，在达到预定可使用状态时转作固定资产。所建造的固定资产已达到预定可使用状态，但尚未办理竣工决算手续的，自达到预定可使用状态之日起，根据工程预算、造价或者工程实际成本等，按估计的价值转入固定资产，并计提固定资产的折旧，待办理了竣工决算手续后再对原估计值进行调整。购建或者生产符合资本化条件的资产而借入的专门借款或占用了一般借款发生的借款利息以及专门借款发生的辅助费用，在所购建或者生产的符合资本化条件的资产达到预定可使用或者可销售状态之前根据其发生额予以资本化。</w:t>
      </w:r>
    </w:p>
    <w:p w:rsidR="0058782B" w:rsidRPr="00F50B51" w:rsidRDefault="00F80EE7">
      <w:pPr>
        <w:pStyle w:val="a7"/>
        <w:spacing w:before="0" w:beforeAutospacing="0" w:after="0" w:afterAutospacing="0"/>
        <w:jc w:val="both"/>
        <w:rPr>
          <w:rFonts w:ascii="Times New Roman" w:hAnsi="Times New Roman" w:cs="Times New Roman"/>
          <w:sz w:val="21"/>
          <w:szCs w:val="21"/>
        </w:rPr>
      </w:pPr>
      <w:r w:rsidRPr="00F50B51">
        <w:rPr>
          <w:rFonts w:cs="Times New Roman" w:hint="eastAsia"/>
          <w:sz w:val="21"/>
          <w:szCs w:val="21"/>
        </w:rPr>
        <w:t>   </w:t>
      </w:r>
      <w:r w:rsidRPr="00F50B51">
        <w:rPr>
          <w:rFonts w:cs="Times New Roman" w:hint="eastAsia"/>
          <w:sz w:val="21"/>
          <w:szCs w:val="21"/>
        </w:rPr>
        <w:t>（</w:t>
      </w:r>
      <w:r w:rsidRPr="00F50B51">
        <w:rPr>
          <w:rFonts w:ascii="Times New Roman" w:hAnsi="Times New Roman" w:cs="Times New Roman"/>
          <w:sz w:val="21"/>
          <w:szCs w:val="21"/>
        </w:rPr>
        <w:t>4</w:t>
      </w:r>
      <w:r w:rsidRPr="00F50B51">
        <w:rPr>
          <w:rFonts w:cs="Times New Roman" w:hint="eastAsia"/>
          <w:sz w:val="21"/>
          <w:szCs w:val="21"/>
        </w:rPr>
        <w:t>）资产负债表日，有迹象表明在建工程发生减值的，计提在建工程减值准备。在建工程减值损失一经确认，在以后会计期间不再转回。</w:t>
      </w:r>
    </w:p>
    <w:p w:rsidR="0058782B" w:rsidRPr="00F50B51" w:rsidRDefault="00F80EE7">
      <w:pPr>
        <w:pStyle w:val="3"/>
        <w:spacing w:line="280" w:lineRule="exact"/>
        <w:jc w:val="left"/>
        <w:rPr>
          <w:rFonts w:ascii="宋体" w:hAnsi="宋体" w:cs="宋体"/>
          <w:b/>
          <w:bCs/>
        </w:rPr>
      </w:pPr>
      <w:bookmarkStart w:id="148" w:name="_Toc989036"/>
      <w:r w:rsidRPr="00F50B51">
        <w:rPr>
          <w:rFonts w:ascii="宋体" w:hAnsi="宋体" w:cs="宋体"/>
          <w:b/>
          <w:bCs/>
        </w:rPr>
        <w:t>26</w:t>
      </w:r>
      <w:r w:rsidRPr="00F50B51">
        <w:rPr>
          <w:rFonts w:ascii="宋体" w:hAnsi="宋体" w:cs="宋体"/>
          <w:b/>
          <w:bCs/>
        </w:rPr>
        <w:t>、借款费用</w:t>
      </w:r>
      <w:bookmarkEnd w:id="148"/>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）借款费用资本化的确认原则</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借款费用包括借款利息、折价或者溢价的摊销、辅助费用以及因外币借款而发生的汇兑差额等。公司发生的借款费用，可直接归属于符合资本化条件的资产的购建或者生产的，予以资本化，计入相关资产成本；其他借款费用，在发生时根据其发生额确认为费用，计入当期损益。</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借款费用同时满足下列条件的，才能开始资本化：</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、资产支出已经发生，资产支出包括为购建或者生产符合</w:t>
      </w:r>
      <w:r w:rsidRPr="00F50B51">
        <w:rPr>
          <w:rFonts w:cs="Times New Roman" w:hint="eastAsia"/>
          <w:sz w:val="21"/>
          <w:szCs w:val="21"/>
        </w:rPr>
        <w:t>资本化条件的资产而以支付现金、转移非现金资产或者承担带息债务形式发生的支出。</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、借款费用已经发生。</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C</w:t>
      </w:r>
      <w:r w:rsidRPr="00F50B51">
        <w:rPr>
          <w:rFonts w:cs="Times New Roman" w:hint="eastAsia"/>
          <w:sz w:val="21"/>
          <w:szCs w:val="21"/>
        </w:rPr>
        <w:t>、为使资产达到预定可使用或者可销售状态所必要的购建或者生产活动已经开始。</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）借款费用资本化期间</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为购建或者生产符合资本化条件的资产而发生的借款费用，在该资产达到预定可使用或者可销售状态前计入该资产的成本；在该资产达到预定可使用或者可销售状态后发生的借款费用计入当期损益。符合资本化条件的资产在购建或者生产过程中发生非正常中断、且中断时间连续超过</w:t>
      </w:r>
      <w:r w:rsidRPr="00F50B51">
        <w:rPr>
          <w:rFonts w:ascii="Times New Roman" w:hAnsi="Times New Roman" w:cs="Times New Roman"/>
          <w:sz w:val="21"/>
          <w:szCs w:val="21"/>
        </w:rPr>
        <w:t xml:space="preserve">3 </w:t>
      </w:r>
      <w:r w:rsidRPr="00F50B51">
        <w:rPr>
          <w:rFonts w:cs="Times New Roman" w:hint="eastAsia"/>
          <w:sz w:val="21"/>
          <w:szCs w:val="21"/>
        </w:rPr>
        <w:t>个月的，暂停借款费用的资本化。借款费用暂停资本化的期间不</w:t>
      </w:r>
      <w:r w:rsidRPr="00F50B51">
        <w:rPr>
          <w:rFonts w:cs="Times New Roman" w:hint="eastAsia"/>
          <w:sz w:val="21"/>
          <w:szCs w:val="21"/>
        </w:rPr>
        <w:t>包括在内。</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）借款费用资本化金额的计算方法</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在资本化期间内，每一会计期间的利息（包括折价或溢价的摊销）资本化金额，按照下列规定确定：</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、为购建或者生产符合资本化条件的资产而借入专门借款的，以专门借款当期实际发生的利息费用，减去将尚未动用的借款资金存入银行取得的利息收入或进行暂时性投资取得的投资收益后的金额确定。</w:t>
      </w:r>
    </w:p>
    <w:p w:rsidR="0058782B" w:rsidRPr="00F50B51" w:rsidRDefault="00F80EE7">
      <w:pPr>
        <w:pStyle w:val="a7"/>
        <w:spacing w:before="120" w:beforeAutospacing="0" w:after="0" w:afterAutospacing="0" w:line="48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购建或者生产符合资本化条件的资产而占用了一般借款的，根据累计资产支出超过专门借款部分的资产支出加权平均数乘以所占用一般借款的资本化率，计算确定一般借款应予资本化的利息金额。资本化率根据一般</w:t>
      </w:r>
      <w:r w:rsidRPr="00F50B51">
        <w:rPr>
          <w:rFonts w:cs="Times New Roman" w:hint="eastAsia"/>
          <w:sz w:val="21"/>
          <w:szCs w:val="21"/>
        </w:rPr>
        <w:t>借款加权平均利率计算确定。</w:t>
      </w:r>
    </w:p>
    <w:p w:rsidR="0058782B" w:rsidRPr="00F50B51" w:rsidRDefault="00F80EE7">
      <w:pPr>
        <w:pStyle w:val="3"/>
        <w:spacing w:line="280" w:lineRule="exact"/>
        <w:jc w:val="left"/>
        <w:rPr>
          <w:rFonts w:ascii="宋体" w:hAnsi="宋体" w:cs="宋体"/>
          <w:b/>
          <w:bCs/>
        </w:rPr>
      </w:pPr>
      <w:bookmarkStart w:id="149" w:name="_Toc989037"/>
      <w:r w:rsidRPr="00F50B51">
        <w:rPr>
          <w:rFonts w:ascii="宋体" w:hAnsi="宋体" w:cs="宋体"/>
          <w:b/>
          <w:bCs/>
        </w:rPr>
        <w:t>27</w:t>
      </w:r>
      <w:r w:rsidRPr="00F50B51">
        <w:rPr>
          <w:rFonts w:ascii="宋体" w:hAnsi="宋体" w:cs="宋体"/>
          <w:b/>
          <w:bCs/>
        </w:rPr>
        <w:t>、生物资产</w:t>
      </w:r>
      <w:bookmarkEnd w:id="149"/>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150" w:name="_Toc989038"/>
      <w:r w:rsidRPr="00F50B51">
        <w:rPr>
          <w:rFonts w:ascii="宋体" w:hAnsi="宋体" w:cs="宋体"/>
          <w:b/>
          <w:bCs/>
        </w:rPr>
        <w:t>28</w:t>
      </w:r>
      <w:r w:rsidRPr="00F50B51">
        <w:rPr>
          <w:rFonts w:ascii="宋体" w:hAnsi="宋体" w:cs="宋体"/>
          <w:b/>
          <w:bCs/>
        </w:rPr>
        <w:t>、油气资产</w:t>
      </w:r>
      <w:bookmarkEnd w:id="150"/>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151" w:name="_Toc989039"/>
      <w:r w:rsidRPr="00F50B51">
        <w:rPr>
          <w:rFonts w:ascii="宋体" w:hAnsi="宋体" w:cs="宋体"/>
          <w:b/>
          <w:bCs/>
        </w:rPr>
        <w:t>29</w:t>
      </w:r>
      <w:r w:rsidRPr="00F50B51">
        <w:rPr>
          <w:rFonts w:ascii="宋体" w:hAnsi="宋体" w:cs="宋体"/>
          <w:b/>
          <w:bCs/>
        </w:rPr>
        <w:t>、使用权资产</w:t>
      </w:r>
      <w:bookmarkEnd w:id="151"/>
    </w:p>
    <w:p w:rsidR="0058782B" w:rsidRPr="00F50B51" w:rsidRDefault="00F80EE7">
      <w:pPr>
        <w:pStyle w:val="a7"/>
        <w:spacing w:before="50" w:beforeAutospacing="0" w:line="360" w:lineRule="auto"/>
        <w:ind w:firstLine="200"/>
      </w:pPr>
      <w:r w:rsidRPr="00F50B51">
        <w:rPr>
          <w:rFonts w:hint="eastAsia"/>
          <w:color w:val="000000"/>
          <w:sz w:val="21"/>
          <w:szCs w:val="21"/>
        </w:rPr>
        <w:t> </w:t>
      </w:r>
      <w:r w:rsidRPr="00F50B51">
        <w:rPr>
          <w:rFonts w:hint="eastAsia"/>
          <w:color w:val="000000"/>
          <w:sz w:val="21"/>
          <w:szCs w:val="21"/>
        </w:rPr>
        <w:t>在租赁期开始日，公司将其可在租赁期内使用租赁资产的权利确认为使用权资产，包括：租赁负债的初始计量金额；在租赁期开始日或之前支付的租赁付款额，存在租赁激励的，扣除已享受的租赁激励相关金额；承租人发生的初始直接费用；承租人为拆卸及移除租赁资产、复原租赁资产所在场地或将租赁资产恢复至租赁条款约定状态预计将发生的成本。公司后续采用年限平均法对使用权资产计提折旧，能够合理确定租赁期届满时取得租赁资产所有权的，公司在租赁资产剩余使用寿命内计提折旧；无法合理确定租赁期届满时能够取得租赁资产所有权的，公司在租赁期与租赁资</w:t>
      </w:r>
      <w:r w:rsidRPr="00F50B51">
        <w:rPr>
          <w:rFonts w:hint="eastAsia"/>
          <w:color w:val="000000"/>
          <w:sz w:val="21"/>
          <w:szCs w:val="21"/>
        </w:rPr>
        <w:t>产剩余使用寿命两者孰短的期间内计提折旧。</w:t>
      </w:r>
      <w:r w:rsidRPr="00F50B51">
        <w:rPr>
          <w:rFonts w:hint="eastAsia"/>
          <w:color w:val="000000"/>
          <w:sz w:val="21"/>
          <w:szCs w:val="21"/>
        </w:rPr>
        <w:t xml:space="preserve"> </w:t>
      </w:r>
    </w:p>
    <w:p w:rsidR="0058782B" w:rsidRPr="00F50B51" w:rsidRDefault="00F80EE7">
      <w:pPr>
        <w:pStyle w:val="a7"/>
        <w:spacing w:before="50" w:beforeAutospacing="0" w:line="360" w:lineRule="auto"/>
        <w:ind w:firstLine="200"/>
      </w:pPr>
      <w:r w:rsidRPr="00F50B51">
        <w:rPr>
          <w:rFonts w:hint="eastAsia"/>
          <w:color w:val="000000"/>
          <w:sz w:val="21"/>
          <w:szCs w:val="21"/>
        </w:rPr>
        <w:t> </w:t>
      </w:r>
      <w:r w:rsidRPr="00F50B51">
        <w:rPr>
          <w:rFonts w:hint="eastAsia"/>
          <w:color w:val="000000"/>
          <w:sz w:val="21"/>
          <w:szCs w:val="21"/>
        </w:rPr>
        <w:t>公司按照变动后的租赁付款额的现值重新计量租赁负债，并相应调整使用权资产的账面价值时，如使用权资产账面价值已调减至零，但租赁负债仍需进一步调减的，公司将剩余金额计入当期损益。</w:t>
      </w:r>
      <w:r w:rsidRPr="00F50B51">
        <w:rPr>
          <w:rFonts w:hint="eastAsia"/>
          <w:color w:val="000000"/>
          <w:sz w:val="21"/>
          <w:szCs w:val="21"/>
        </w:rPr>
        <w:t xml:space="preserve"> </w:t>
      </w:r>
    </w:p>
    <w:p w:rsidR="0058782B" w:rsidRPr="00F50B51" w:rsidRDefault="00F80EE7">
      <w:pPr>
        <w:pStyle w:val="a7"/>
        <w:spacing w:before="156" w:beforeAutospacing="0" w:line="360" w:lineRule="auto"/>
        <w:ind w:firstLine="480"/>
        <w:jc w:val="both"/>
      </w:pPr>
      <w:r w:rsidRPr="00F50B51">
        <w:rPr>
          <w:rFonts w:hint="eastAsia"/>
        </w:rPr>
        <w:t> </w:t>
      </w:r>
    </w:p>
    <w:p w:rsidR="0058782B" w:rsidRPr="00F50B51" w:rsidRDefault="00F80EE7">
      <w:pPr>
        <w:pStyle w:val="3"/>
        <w:spacing w:line="280" w:lineRule="exact"/>
        <w:jc w:val="left"/>
        <w:rPr>
          <w:rFonts w:ascii="宋体" w:hAnsi="宋体" w:cs="宋体"/>
          <w:b/>
          <w:bCs/>
        </w:rPr>
      </w:pPr>
      <w:bookmarkStart w:id="152" w:name="_Toc989040"/>
      <w:r w:rsidRPr="00F50B51">
        <w:rPr>
          <w:rFonts w:ascii="宋体" w:hAnsi="宋体" w:cs="宋体"/>
          <w:b/>
          <w:bCs/>
        </w:rPr>
        <w:t>30</w:t>
      </w:r>
      <w:r w:rsidRPr="00F50B51">
        <w:rPr>
          <w:rFonts w:ascii="宋体" w:hAnsi="宋体" w:cs="宋体"/>
          <w:b/>
          <w:bCs/>
        </w:rPr>
        <w:t>、无形资产</w:t>
      </w:r>
      <w:bookmarkEnd w:id="152"/>
    </w:p>
    <w:p w:rsidR="0058782B" w:rsidRPr="00F50B51" w:rsidRDefault="00F80EE7">
      <w:pPr>
        <w:keepNext/>
        <w:keepLines/>
        <w:spacing w:before="300" w:after="300" w:line="280" w:lineRule="exact"/>
        <w:outlineLvl w:val="3"/>
        <w:rPr>
          <w:rFonts w:ascii="宋体" w:eastAsia="宋体" w:hAnsi="宋体" w:cs="宋体"/>
          <w:b/>
          <w:bCs/>
          <w:szCs w:val="21"/>
        </w:rPr>
      </w:pPr>
      <w:bookmarkStart w:id="153" w:name="_Toc989041"/>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计价方法、使用寿命、减值测试</w:t>
      </w:r>
      <w:bookmarkEnd w:id="153"/>
    </w:p>
    <w:p w:rsidR="0058782B" w:rsidRPr="00F50B51" w:rsidRDefault="00F80EE7">
      <w:pPr>
        <w:pStyle w:val="a7"/>
        <w:spacing w:before="120" w:beforeAutospacing="0" w:after="0" w:afterAutospacing="0" w:line="48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）无形资产计价：</w:t>
      </w:r>
    </w:p>
    <w:p w:rsidR="0058782B" w:rsidRPr="00F50B51" w:rsidRDefault="00F80EE7">
      <w:pPr>
        <w:pStyle w:val="a7"/>
        <w:spacing w:before="120" w:beforeAutospacing="0" w:after="0" w:afterAutospacing="0" w:line="48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、外购无形资产的成本，按使该项资产达到预定用途所发生的实际支出计价。</w:t>
      </w:r>
    </w:p>
    <w:p w:rsidR="0058782B" w:rsidRPr="00F50B51" w:rsidRDefault="00F80EE7">
      <w:pPr>
        <w:pStyle w:val="a7"/>
        <w:spacing w:before="120" w:beforeAutospacing="0" w:after="0" w:afterAutospacing="0" w:line="48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公司内部研究开发项目的支出，区分研究阶段支出与开发阶段支出。研究阶段支出是指公司为获取并理解新的科学或技术知识而进行的独创性的有计划调查而发生的支出。公司内部研究开发项目研究阶段的支出，于发生时计入当期损益。</w:t>
      </w:r>
    </w:p>
    <w:p w:rsidR="0058782B" w:rsidRPr="00F50B51" w:rsidRDefault="00F80EE7">
      <w:pPr>
        <w:pStyle w:val="a7"/>
        <w:spacing w:before="120" w:beforeAutospacing="0" w:after="0" w:afterAutospacing="0" w:line="480" w:lineRule="atLeast"/>
        <w:ind w:firstLine="420"/>
        <w:jc w:val="both"/>
        <w:rPr>
          <w:rFonts w:ascii="Times New Roman" w:hAnsi="Times New Roman" w:cs="Times New Roman"/>
          <w:sz w:val="21"/>
          <w:szCs w:val="21"/>
        </w:rPr>
      </w:pPr>
      <w:r w:rsidRPr="00F50B51">
        <w:rPr>
          <w:rFonts w:cs="Times New Roman" w:hint="eastAsia"/>
          <w:sz w:val="21"/>
          <w:szCs w:val="21"/>
        </w:rPr>
        <w:t>开发阶段支出是指在进行商业性生产或使用前，将研究成果或其他知识应用于某项计划或设计，以生产出新的或具有实质性改进的材料、装置、产品等发生的支出。开发阶段的支出，只有在同时满足下列条件时，才能予以资本化，即：</w:t>
      </w:r>
      <w:r w:rsidRPr="00F50B51">
        <w:rPr>
          <w:rFonts w:ascii="Times New Roman" w:hAnsi="Times New Roman" w:cs="Times New Roman"/>
          <w:sz w:val="21"/>
          <w:szCs w:val="21"/>
        </w:rPr>
        <w:t>a</w:t>
      </w:r>
      <w:r w:rsidRPr="00F50B51">
        <w:rPr>
          <w:rFonts w:cs="Times New Roman" w:hint="eastAsia"/>
          <w:sz w:val="21"/>
          <w:szCs w:val="21"/>
        </w:rPr>
        <w:t>、完成该无形资产以使其能够使用或出售在技术上具有可行性；</w:t>
      </w:r>
      <w:r w:rsidRPr="00F50B51">
        <w:rPr>
          <w:rFonts w:ascii="Times New Roman" w:hAnsi="Times New Roman" w:cs="Times New Roman"/>
          <w:sz w:val="21"/>
          <w:szCs w:val="21"/>
        </w:rPr>
        <w:t>b</w:t>
      </w:r>
      <w:r w:rsidRPr="00F50B51">
        <w:rPr>
          <w:rFonts w:cs="Times New Roman" w:hint="eastAsia"/>
          <w:sz w:val="21"/>
          <w:szCs w:val="21"/>
        </w:rPr>
        <w:t>、具有完成该无形资产并使用或出售的</w:t>
      </w:r>
      <w:r w:rsidRPr="00F50B51">
        <w:rPr>
          <w:rFonts w:cs="Times New Roman" w:hint="eastAsia"/>
          <w:sz w:val="21"/>
          <w:szCs w:val="21"/>
        </w:rPr>
        <w:t>意图；</w:t>
      </w:r>
      <w:r w:rsidRPr="00F50B51">
        <w:rPr>
          <w:rFonts w:ascii="Times New Roman" w:hAnsi="Times New Roman" w:cs="Times New Roman"/>
          <w:sz w:val="21"/>
          <w:szCs w:val="21"/>
        </w:rPr>
        <w:t>c</w:t>
      </w:r>
      <w:r w:rsidRPr="00F50B51">
        <w:rPr>
          <w:rFonts w:cs="Times New Roman" w:hint="eastAsia"/>
          <w:sz w:val="21"/>
          <w:szCs w:val="21"/>
        </w:rPr>
        <w:t>、无形资产产生经济利益的方式，包括能够证明运用该无形资产生产的产品存在市场或无形资产自身存在市场，无形资产将在内部使用的，证明其有用性；</w:t>
      </w:r>
      <w:r w:rsidRPr="00F50B51">
        <w:rPr>
          <w:rFonts w:ascii="Times New Roman" w:hAnsi="Times New Roman" w:cs="Times New Roman"/>
          <w:sz w:val="21"/>
          <w:szCs w:val="21"/>
        </w:rPr>
        <w:t>d</w:t>
      </w:r>
      <w:r w:rsidRPr="00F50B51">
        <w:rPr>
          <w:rFonts w:cs="Times New Roman" w:hint="eastAsia"/>
          <w:sz w:val="21"/>
          <w:szCs w:val="21"/>
        </w:rPr>
        <w:t>、有足够的技术、财务资源和其他资源支持，以完成该无形资产的开发，并有能力使用或出售该无形资产；</w:t>
      </w:r>
      <w:r w:rsidRPr="00F50B51">
        <w:rPr>
          <w:rFonts w:ascii="Times New Roman" w:hAnsi="Times New Roman" w:cs="Times New Roman"/>
          <w:sz w:val="21"/>
          <w:szCs w:val="21"/>
        </w:rPr>
        <w:t>e</w:t>
      </w:r>
      <w:r w:rsidRPr="00F50B51">
        <w:rPr>
          <w:rFonts w:cs="Times New Roman" w:hint="eastAsia"/>
          <w:sz w:val="21"/>
          <w:szCs w:val="21"/>
        </w:rPr>
        <w:t>、归属于该无形资产开发阶段的支出能够可靠地计量。不满足上述条件的开发支出，于发生时计入当期损益。</w:t>
      </w:r>
    </w:p>
    <w:p w:rsidR="0058782B" w:rsidRPr="00F50B51" w:rsidRDefault="00F80EE7">
      <w:pPr>
        <w:pStyle w:val="a7"/>
        <w:spacing w:before="120" w:beforeAutospacing="0" w:after="0" w:afterAutospacing="0" w:line="48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C</w:t>
      </w:r>
      <w:r w:rsidRPr="00F50B51">
        <w:rPr>
          <w:rFonts w:cs="Times New Roman" w:hint="eastAsia"/>
          <w:sz w:val="21"/>
          <w:szCs w:val="21"/>
        </w:rPr>
        <w:t>、投资者投入的无形资产，按照投资合同或协议约定的价值作为成本，但合同或协议约定价值不公允的除外。</w:t>
      </w:r>
    </w:p>
    <w:p w:rsidR="0058782B" w:rsidRPr="00F50B51" w:rsidRDefault="00F80EE7">
      <w:pPr>
        <w:pStyle w:val="a7"/>
        <w:spacing w:before="120" w:beforeAutospacing="0" w:after="0" w:afterAutospacing="0" w:line="48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D</w:t>
      </w:r>
      <w:r w:rsidRPr="00F50B51">
        <w:rPr>
          <w:rFonts w:cs="Times New Roman" w:hint="eastAsia"/>
          <w:sz w:val="21"/>
          <w:szCs w:val="21"/>
        </w:rPr>
        <w:t>、接受债务人以非现金资产抵偿债务方式取得的无形资产，或以应收债权换入无</w:t>
      </w:r>
      <w:r w:rsidRPr="00F50B51">
        <w:rPr>
          <w:rFonts w:cs="Times New Roman" w:hint="eastAsia"/>
          <w:sz w:val="21"/>
          <w:szCs w:val="21"/>
        </w:rPr>
        <w:t>形资产的，按换入无形资产的公允价值入账。</w:t>
      </w:r>
    </w:p>
    <w:p w:rsidR="0058782B" w:rsidRPr="00F50B51" w:rsidRDefault="00F80EE7">
      <w:pPr>
        <w:pStyle w:val="a7"/>
        <w:spacing w:before="120" w:beforeAutospacing="0" w:after="0" w:afterAutospacing="0" w:line="48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E</w:t>
      </w:r>
      <w:r w:rsidRPr="00F50B51">
        <w:rPr>
          <w:rFonts w:cs="Times New Roman" w:hint="eastAsia"/>
          <w:sz w:val="21"/>
          <w:szCs w:val="21"/>
        </w:rPr>
        <w:t>、非货币性交易投入的无形资产，以该项无形资产的公允价值和应支付的相关税费作为入账成本。</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F</w:t>
      </w:r>
      <w:r w:rsidRPr="00F50B51">
        <w:rPr>
          <w:rFonts w:cs="Times New Roman" w:hint="eastAsia"/>
          <w:sz w:val="21"/>
          <w:szCs w:val="21"/>
        </w:rPr>
        <w:t>、接受捐赠的无形资产，捐赠方提供了有关凭据的，按凭据上标明的金额加上应支付的相关税费计价；捐赠方没有提供有关凭据的，如果同类或类似无形资产存在活跃市场的，按同类或类似无形资产的市场价格估计的金额，加上应支付的相关税费，作为实际成本；如果同类或类似无形资产不存在活跃市场的，按接受捐赠的无形资产的预计未来现金流量现值，作为实际成本；自行开发并按法律程序申请取得的无形资产，按依法取</w:t>
      </w:r>
      <w:r w:rsidRPr="00F50B51">
        <w:rPr>
          <w:rFonts w:cs="Times New Roman" w:hint="eastAsia"/>
          <w:sz w:val="21"/>
          <w:szCs w:val="21"/>
        </w:rPr>
        <w:t>得时发生的注册费，聘请律师费等费用，作为实际成本。</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）无形资产的后续计量</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、无形资产使用寿命的估计</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公司拥有或者控制的来源于合同性权利或其他法定权利的无形资产，其使用寿命不超过合同性权利或其他法定权利的期限；合同性权利或其他法定权利在到期时因续约等延续、且有证据表明公司续约不需要付出大额成本的，续约期计入使用寿命；合同或法律没有规定使用寿命的，无形资产的使用寿命参考历史经验或聘请相关专家进行论证等确定。按照上述方法仍无法合理确定无形资产为公司带来经济利益期限的，公司将该项无形资产作为使用寿命不确定的无</w:t>
      </w:r>
      <w:r w:rsidRPr="00F50B51">
        <w:rPr>
          <w:rFonts w:cs="Times New Roman" w:hint="eastAsia"/>
          <w:sz w:val="21"/>
          <w:szCs w:val="21"/>
        </w:rPr>
        <w:t>形资产。</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、无形资产使用寿命的复核</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公司至少于每年年度终了时，对无形资产的使用寿命及摊销方法进行复核。必要时进行调整。</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C</w:t>
      </w:r>
      <w:r w:rsidRPr="00F50B51">
        <w:rPr>
          <w:rFonts w:cs="Times New Roman" w:hint="eastAsia"/>
          <w:sz w:val="21"/>
          <w:szCs w:val="21"/>
        </w:rPr>
        <w:t>、无形资产的摊销</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公司对于使用寿命有限的无形资产，自取得当月起在预计使用寿命内采用直线法分期摊销。使用寿命不确定的无形资产不摊销，每年末均进行减值测试。无形资产的应摊销金额为其成本扣除预计残值后的金额。已计提减值准备的无形资产，还应扣除已计提的无形资产减值准备累计金额。无形资产的摊销金额计入当期损益。使用寿命不确定的无形资产不摊销，期末进行减值测试。</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）无形资产减值准备</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资产负债表日，有迹象表明无形资产发生减值的，计提无形资产减值准备。无形资产减值损失一经确认，在以后会计期间不再转回。</w:t>
      </w:r>
    </w:p>
    <w:p w:rsidR="0058782B" w:rsidRPr="00F50B51" w:rsidRDefault="00F80EE7">
      <w:pPr>
        <w:keepNext/>
        <w:keepLines/>
        <w:spacing w:before="300" w:after="300" w:line="280" w:lineRule="exact"/>
        <w:outlineLvl w:val="3"/>
        <w:rPr>
          <w:rFonts w:ascii="宋体" w:eastAsia="宋体" w:hAnsi="宋体" w:cs="宋体"/>
          <w:b/>
          <w:bCs/>
          <w:szCs w:val="21"/>
        </w:rPr>
      </w:pPr>
      <w:bookmarkStart w:id="154" w:name="_Toc989042"/>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内部研究开发支出会计政策</w:t>
      </w:r>
      <w:bookmarkEnd w:id="154"/>
    </w:p>
    <w:p w:rsidR="0058782B" w:rsidRPr="00F50B51" w:rsidRDefault="00F80EE7">
      <w:pPr>
        <w:pStyle w:val="a7"/>
        <w:spacing w:before="50" w:beforeAutospacing="0" w:line="360" w:lineRule="auto"/>
        <w:ind w:firstLine="200"/>
      </w:pPr>
      <w:r w:rsidRPr="00F50B51">
        <w:rPr>
          <w:rFonts w:hint="eastAsia"/>
          <w:color w:val="000000"/>
          <w:sz w:val="21"/>
          <w:szCs w:val="21"/>
        </w:rPr>
        <w:t> </w:t>
      </w:r>
      <w:r w:rsidRPr="00F50B51">
        <w:rPr>
          <w:rFonts w:hint="eastAsia"/>
          <w:color w:val="000000"/>
          <w:sz w:val="21"/>
          <w:szCs w:val="21"/>
        </w:rPr>
        <w:t>公司内部研究开发项目的支出，区分研究阶段支出与开发阶段支出。研究阶段支出是指公司为获取并理解新的科学或技术知识而进行的独创性的有计划调查而发生的支出。公司内部研究开发项目研究阶段的支出，于发生时计入当期损益。</w:t>
      </w:r>
      <w:r w:rsidRPr="00F50B51">
        <w:rPr>
          <w:rFonts w:hint="eastAsia"/>
          <w:color w:val="000000"/>
          <w:sz w:val="21"/>
          <w:szCs w:val="21"/>
        </w:rPr>
        <w:t xml:space="preserve"> </w:t>
      </w:r>
    </w:p>
    <w:p w:rsidR="0058782B" w:rsidRPr="00F50B51" w:rsidRDefault="00F80EE7">
      <w:pPr>
        <w:pStyle w:val="a7"/>
        <w:spacing w:before="50" w:beforeAutospacing="0" w:line="360" w:lineRule="auto"/>
        <w:ind w:firstLine="200"/>
      </w:pPr>
      <w:r w:rsidRPr="00F50B51">
        <w:rPr>
          <w:rFonts w:hint="eastAsia"/>
          <w:color w:val="000000"/>
          <w:sz w:val="21"/>
          <w:szCs w:val="21"/>
        </w:rPr>
        <w:t> </w:t>
      </w:r>
      <w:r w:rsidRPr="00F50B51">
        <w:rPr>
          <w:rFonts w:hint="eastAsia"/>
          <w:color w:val="000000"/>
          <w:sz w:val="21"/>
          <w:szCs w:val="21"/>
        </w:rPr>
        <w:t>开发阶段支出是指在进行商业性生产或使用前，将研究成果或其他知识应用于某项计划或设计，以生产出新的或具有实质性改进的材料、装置、产品等发生的支出。</w:t>
      </w:r>
      <w:r w:rsidRPr="00F50B51">
        <w:rPr>
          <w:rFonts w:hint="eastAsia"/>
          <w:color w:val="000000"/>
          <w:sz w:val="21"/>
          <w:szCs w:val="21"/>
        </w:rPr>
        <w:t>开发阶段的支出，只有在同时满足下列条件时，才能予以资本化，即：</w:t>
      </w:r>
      <w:r w:rsidRPr="00F50B51">
        <w:rPr>
          <w:rFonts w:ascii="Times New Roman" w:hAnsi="Times New Roman" w:cs="Times New Roman"/>
          <w:color w:val="000000"/>
          <w:sz w:val="21"/>
          <w:szCs w:val="21"/>
        </w:rPr>
        <w:t>a</w:t>
      </w:r>
      <w:r w:rsidRPr="00F50B51">
        <w:rPr>
          <w:rFonts w:hint="eastAsia"/>
          <w:color w:val="000000"/>
          <w:sz w:val="21"/>
          <w:szCs w:val="21"/>
        </w:rPr>
        <w:t>、完成该无形资产以使其能够使用或出售在技术上具有可行性；</w:t>
      </w:r>
      <w:r w:rsidRPr="00F50B51">
        <w:rPr>
          <w:rFonts w:ascii="Times New Roman" w:hAnsi="Times New Roman" w:cs="Times New Roman"/>
          <w:color w:val="000000"/>
          <w:sz w:val="21"/>
          <w:szCs w:val="21"/>
        </w:rPr>
        <w:t>b</w:t>
      </w:r>
      <w:r w:rsidRPr="00F50B51">
        <w:rPr>
          <w:rFonts w:hint="eastAsia"/>
          <w:color w:val="000000"/>
          <w:sz w:val="21"/>
          <w:szCs w:val="21"/>
        </w:rPr>
        <w:t>、具有完成该无形资产并使用或出售的意图；</w:t>
      </w:r>
      <w:r w:rsidRPr="00F50B51">
        <w:rPr>
          <w:rFonts w:ascii="Times New Roman" w:hAnsi="Times New Roman" w:cs="Times New Roman"/>
          <w:color w:val="000000"/>
          <w:sz w:val="21"/>
          <w:szCs w:val="21"/>
        </w:rPr>
        <w:t>c</w:t>
      </w:r>
      <w:r w:rsidRPr="00F50B51">
        <w:rPr>
          <w:rFonts w:hint="eastAsia"/>
          <w:color w:val="000000"/>
          <w:sz w:val="21"/>
          <w:szCs w:val="21"/>
        </w:rPr>
        <w:t>、无形资产产生经济利益的方式，包括能够证明运用该无形资产生产的产品存在市场或无形资产自身存在市场，无形资产将在内部使用的，证明其有用性；</w:t>
      </w:r>
      <w:r w:rsidRPr="00F50B51">
        <w:rPr>
          <w:rFonts w:ascii="Times New Roman" w:hAnsi="Times New Roman" w:cs="Times New Roman"/>
          <w:color w:val="000000"/>
          <w:sz w:val="21"/>
          <w:szCs w:val="21"/>
        </w:rPr>
        <w:t>d</w:t>
      </w:r>
      <w:r w:rsidRPr="00F50B51">
        <w:rPr>
          <w:rFonts w:hint="eastAsia"/>
          <w:color w:val="000000"/>
          <w:sz w:val="21"/>
          <w:szCs w:val="21"/>
        </w:rPr>
        <w:t>、有足够的技术、财务资源和其他资源支持，以完成该无形资产的开发，并有能力使用或出售该无形资产；</w:t>
      </w:r>
      <w:r w:rsidRPr="00F50B51">
        <w:rPr>
          <w:rFonts w:ascii="Times New Roman" w:hAnsi="Times New Roman" w:cs="Times New Roman"/>
          <w:color w:val="000000"/>
          <w:sz w:val="21"/>
          <w:szCs w:val="21"/>
        </w:rPr>
        <w:t>e</w:t>
      </w:r>
      <w:r w:rsidRPr="00F50B51">
        <w:rPr>
          <w:rFonts w:hint="eastAsia"/>
          <w:color w:val="000000"/>
          <w:sz w:val="21"/>
          <w:szCs w:val="21"/>
        </w:rPr>
        <w:t>、归属于该无形资产开发阶段的支出能够可靠地计量。不满足上述条件的开发支出，于发生时计入当期损益。</w:t>
      </w:r>
    </w:p>
    <w:p w:rsidR="0058782B" w:rsidRPr="00F50B51" w:rsidRDefault="00F80EE7">
      <w:pPr>
        <w:pStyle w:val="3"/>
        <w:spacing w:line="280" w:lineRule="exact"/>
        <w:jc w:val="left"/>
        <w:rPr>
          <w:rFonts w:ascii="宋体" w:hAnsi="宋体" w:cs="宋体"/>
          <w:b/>
          <w:bCs/>
        </w:rPr>
      </w:pPr>
      <w:bookmarkStart w:id="155" w:name="_Toc989043"/>
      <w:r w:rsidRPr="00F50B51">
        <w:rPr>
          <w:rFonts w:ascii="宋体" w:hAnsi="宋体" w:cs="宋体"/>
          <w:b/>
          <w:bCs/>
        </w:rPr>
        <w:t>31</w:t>
      </w:r>
      <w:r w:rsidRPr="00F50B51">
        <w:rPr>
          <w:rFonts w:ascii="宋体" w:hAnsi="宋体" w:cs="宋体"/>
          <w:b/>
          <w:bCs/>
        </w:rPr>
        <w:t>、长期资产减值</w:t>
      </w:r>
      <w:bookmarkEnd w:id="155"/>
    </w:p>
    <w:p w:rsidR="0058782B" w:rsidRPr="00F50B51" w:rsidRDefault="00F80EE7">
      <w:pPr>
        <w:pStyle w:val="a7"/>
        <w:spacing w:before="120" w:beforeAutospacing="0" w:after="0" w:afterAutospacing="0" w:line="460" w:lineRule="atLeast"/>
        <w:ind w:firstLine="424"/>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）适用范围</w:t>
      </w:r>
    </w:p>
    <w:p w:rsidR="0058782B" w:rsidRPr="00F50B51" w:rsidRDefault="00F80EE7">
      <w:pPr>
        <w:pStyle w:val="a7"/>
        <w:spacing w:before="120" w:beforeAutospacing="0" w:after="0" w:afterAutospacing="0" w:line="460" w:lineRule="atLeast"/>
        <w:ind w:firstLine="462"/>
        <w:jc w:val="both"/>
        <w:rPr>
          <w:rFonts w:ascii="Times New Roman" w:hAnsi="Times New Roman" w:cs="Times New Roman"/>
          <w:sz w:val="21"/>
          <w:szCs w:val="21"/>
        </w:rPr>
      </w:pPr>
      <w:r w:rsidRPr="00F50B51">
        <w:rPr>
          <w:rFonts w:cs="Times New Roman" w:hint="eastAsia"/>
          <w:sz w:val="21"/>
          <w:szCs w:val="21"/>
        </w:rPr>
        <w:t>资产减值主要包括长期股权投资、投资性房地产（不含以公允价值模式计量的投资性房地产）、固定资产、在建工程、工程物资、无形资产（包括资本化的开发支出）、资产组和资产组组合、商誉等。</w:t>
      </w:r>
    </w:p>
    <w:p w:rsidR="0058782B" w:rsidRPr="00F50B51" w:rsidRDefault="00F80EE7">
      <w:pPr>
        <w:pStyle w:val="a7"/>
        <w:spacing w:before="120" w:beforeAutospacing="0" w:after="0" w:afterAutospacing="0" w:line="460" w:lineRule="atLeast"/>
        <w:ind w:firstLine="424"/>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）可能发生减值资产的认定</w:t>
      </w:r>
    </w:p>
    <w:p w:rsidR="0058782B" w:rsidRPr="00F50B51" w:rsidRDefault="00F80EE7">
      <w:pPr>
        <w:pStyle w:val="a7"/>
        <w:spacing w:before="120" w:beforeAutospacing="0" w:after="0" w:afterAutospacing="0" w:line="460" w:lineRule="atLeast"/>
        <w:ind w:firstLine="462"/>
        <w:jc w:val="both"/>
        <w:rPr>
          <w:rFonts w:ascii="Times New Roman" w:hAnsi="Times New Roman" w:cs="Times New Roman"/>
          <w:sz w:val="21"/>
          <w:szCs w:val="21"/>
        </w:rPr>
      </w:pPr>
      <w:r w:rsidRPr="00F50B51">
        <w:rPr>
          <w:rFonts w:cs="Times New Roman" w:hint="eastAsia"/>
          <w:sz w:val="21"/>
          <w:szCs w:val="21"/>
        </w:rPr>
        <w:t>在资产负债表日，公司判断资产是否存在可能发生减值的迹象。因企业合并所形成的商誉和使用寿命不确定的无形资产，无论是否存在减值迹象，每年均进行减值测试。存在下列迹象的，表明资产可能发生了减值：</w:t>
      </w:r>
    </w:p>
    <w:p w:rsidR="0058782B" w:rsidRPr="00F50B51" w:rsidRDefault="00F80EE7">
      <w:pPr>
        <w:pStyle w:val="a7"/>
        <w:spacing w:before="120" w:beforeAutospacing="0" w:after="0" w:afterAutospacing="0" w:line="460" w:lineRule="atLeast"/>
        <w:ind w:firstLine="462"/>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、资产的市价当期大幅度下跌，其跌幅明显高于因时间的推移或者正常使用而预计的下</w:t>
      </w:r>
      <w:r w:rsidRPr="00F50B51">
        <w:rPr>
          <w:rFonts w:cs="Times New Roman" w:hint="eastAsia"/>
          <w:sz w:val="21"/>
          <w:szCs w:val="21"/>
        </w:rPr>
        <w:t>跌。</w:t>
      </w:r>
    </w:p>
    <w:p w:rsidR="0058782B" w:rsidRPr="00F50B51" w:rsidRDefault="00F80EE7">
      <w:pPr>
        <w:pStyle w:val="a7"/>
        <w:spacing w:before="120" w:beforeAutospacing="0" w:after="0" w:afterAutospacing="0" w:line="460" w:lineRule="atLeast"/>
        <w:ind w:firstLine="462"/>
        <w:jc w:val="both"/>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、公司经营所处的经济、技术或者法律等环境以及资产所处的市场在当期或者将在近期发生重大变化，从而对公司产生不利影响。</w:t>
      </w:r>
    </w:p>
    <w:p w:rsidR="0058782B" w:rsidRPr="00F50B51" w:rsidRDefault="00F80EE7">
      <w:pPr>
        <w:pStyle w:val="a7"/>
        <w:spacing w:before="120" w:beforeAutospacing="0" w:after="0" w:afterAutospacing="0" w:line="460" w:lineRule="atLeast"/>
        <w:ind w:firstLine="462"/>
        <w:jc w:val="both"/>
        <w:rPr>
          <w:rFonts w:ascii="Times New Roman" w:hAnsi="Times New Roman" w:cs="Times New Roman"/>
          <w:sz w:val="21"/>
          <w:szCs w:val="21"/>
        </w:rPr>
      </w:pPr>
      <w:r w:rsidRPr="00F50B51">
        <w:rPr>
          <w:rFonts w:ascii="Times New Roman" w:hAnsi="Times New Roman" w:cs="Times New Roman"/>
          <w:sz w:val="21"/>
          <w:szCs w:val="21"/>
        </w:rPr>
        <w:t>C</w:t>
      </w:r>
      <w:r w:rsidRPr="00F50B51">
        <w:rPr>
          <w:rFonts w:cs="Times New Roman" w:hint="eastAsia"/>
          <w:sz w:val="21"/>
          <w:szCs w:val="21"/>
        </w:rPr>
        <w:t>、市场利率或者其他市场投资报酬率在当期已经提高，从而影响公司计算资产预计未来现金流量现值的折现率，导致资产可收回金额大幅度降低。</w:t>
      </w:r>
    </w:p>
    <w:p w:rsidR="0058782B" w:rsidRPr="00F50B51" w:rsidRDefault="00F80EE7">
      <w:pPr>
        <w:pStyle w:val="a7"/>
        <w:spacing w:before="120" w:beforeAutospacing="0" w:after="0" w:afterAutospacing="0" w:line="460" w:lineRule="atLeast"/>
        <w:ind w:firstLine="462"/>
        <w:jc w:val="both"/>
        <w:rPr>
          <w:rFonts w:ascii="Times New Roman" w:hAnsi="Times New Roman" w:cs="Times New Roman"/>
          <w:sz w:val="21"/>
          <w:szCs w:val="21"/>
        </w:rPr>
      </w:pPr>
      <w:r w:rsidRPr="00F50B51">
        <w:rPr>
          <w:rFonts w:ascii="Times New Roman" w:hAnsi="Times New Roman" w:cs="Times New Roman"/>
          <w:sz w:val="21"/>
          <w:szCs w:val="21"/>
        </w:rPr>
        <w:t>D</w:t>
      </w:r>
      <w:r w:rsidRPr="00F50B51">
        <w:rPr>
          <w:rFonts w:cs="Times New Roman" w:hint="eastAsia"/>
          <w:sz w:val="21"/>
          <w:szCs w:val="21"/>
        </w:rPr>
        <w:t>、有证据表明资产已经陈旧过时或者其实体已经损坏。</w:t>
      </w:r>
    </w:p>
    <w:p w:rsidR="0058782B" w:rsidRPr="00F50B51" w:rsidRDefault="00F80EE7">
      <w:pPr>
        <w:pStyle w:val="a7"/>
        <w:spacing w:before="120" w:beforeAutospacing="0" w:after="0" w:afterAutospacing="0" w:line="460" w:lineRule="atLeast"/>
        <w:ind w:firstLine="462"/>
        <w:jc w:val="both"/>
        <w:rPr>
          <w:rFonts w:ascii="Times New Roman" w:hAnsi="Times New Roman" w:cs="Times New Roman"/>
          <w:sz w:val="21"/>
          <w:szCs w:val="21"/>
        </w:rPr>
      </w:pPr>
      <w:r w:rsidRPr="00F50B51">
        <w:rPr>
          <w:rFonts w:ascii="Times New Roman" w:hAnsi="Times New Roman" w:cs="Times New Roman"/>
          <w:sz w:val="21"/>
          <w:szCs w:val="21"/>
        </w:rPr>
        <w:t>E</w:t>
      </w:r>
      <w:r w:rsidRPr="00F50B51">
        <w:rPr>
          <w:rFonts w:cs="Times New Roman" w:hint="eastAsia"/>
          <w:sz w:val="21"/>
          <w:szCs w:val="21"/>
        </w:rPr>
        <w:t>、资产已经或者将被闲置、终止使用或者计划提前处置。</w:t>
      </w:r>
    </w:p>
    <w:p w:rsidR="0058782B" w:rsidRPr="00F50B51" w:rsidRDefault="00F80EE7">
      <w:pPr>
        <w:pStyle w:val="a7"/>
        <w:spacing w:before="120" w:beforeAutospacing="0" w:after="0" w:afterAutospacing="0" w:line="460" w:lineRule="atLeast"/>
        <w:ind w:firstLine="462"/>
        <w:jc w:val="both"/>
        <w:rPr>
          <w:rFonts w:ascii="Times New Roman" w:hAnsi="Times New Roman" w:cs="Times New Roman"/>
          <w:sz w:val="21"/>
          <w:szCs w:val="21"/>
        </w:rPr>
      </w:pPr>
      <w:r w:rsidRPr="00F50B51">
        <w:rPr>
          <w:rFonts w:ascii="Times New Roman" w:hAnsi="Times New Roman" w:cs="Times New Roman"/>
          <w:sz w:val="21"/>
          <w:szCs w:val="21"/>
        </w:rPr>
        <w:t>F</w:t>
      </w:r>
      <w:r w:rsidRPr="00F50B51">
        <w:rPr>
          <w:rFonts w:cs="Times New Roman" w:hint="eastAsia"/>
          <w:sz w:val="21"/>
          <w:szCs w:val="21"/>
        </w:rPr>
        <w:t>、公司内部报告的证据表明资产的经济绩效已经低于或者将低于预期，如资产所创造的净现金流量或者实现的营业利润（或者亏损）远远低于（或者高于）预计金额等。</w:t>
      </w:r>
    </w:p>
    <w:p w:rsidR="0058782B" w:rsidRPr="00F50B51" w:rsidRDefault="00F80EE7">
      <w:pPr>
        <w:pStyle w:val="a7"/>
        <w:spacing w:before="120" w:beforeAutospacing="0" w:after="0" w:afterAutospacing="0" w:line="460" w:lineRule="atLeast"/>
        <w:ind w:firstLine="462"/>
        <w:jc w:val="both"/>
        <w:rPr>
          <w:rFonts w:ascii="Times New Roman" w:hAnsi="Times New Roman" w:cs="Times New Roman"/>
          <w:sz w:val="21"/>
          <w:szCs w:val="21"/>
        </w:rPr>
      </w:pPr>
      <w:r w:rsidRPr="00F50B51">
        <w:rPr>
          <w:rFonts w:ascii="Times New Roman" w:hAnsi="Times New Roman" w:cs="Times New Roman"/>
          <w:sz w:val="21"/>
          <w:szCs w:val="21"/>
        </w:rPr>
        <w:t>G</w:t>
      </w:r>
      <w:r w:rsidRPr="00F50B51">
        <w:rPr>
          <w:rFonts w:cs="Times New Roman" w:hint="eastAsia"/>
          <w:sz w:val="21"/>
          <w:szCs w:val="21"/>
        </w:rPr>
        <w:t>、其他表明资产可能已经发生减值的迹象。</w:t>
      </w:r>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）资产可收回金额的计量</w:t>
      </w:r>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资产存在减值迹象的，估计其可收回金额。可收回金额根据资产的公允价值减去处置费用后的净额与资产预计未来现金流量的现值两者之间较高者确定。</w:t>
      </w:r>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4</w:t>
      </w:r>
      <w:r w:rsidRPr="00F50B51">
        <w:rPr>
          <w:rFonts w:cs="Times New Roman" w:hint="eastAsia"/>
          <w:sz w:val="21"/>
          <w:szCs w:val="21"/>
        </w:rPr>
        <w:t>）资产减值损失的确定</w:t>
      </w:r>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可收回金额的计量结果表明，资产的可收回金额低于其账面价值的，将资产的账面价值减记至可收回金额，减记的金额确认为资产减值损失，计入当期损益，同时计提相应的资产减值准备。资产减值损失确认后，减值资产的折旧或者摊销费用在未来期间作相应调整，以使该资产在剩余使用寿命内，系统地分摊调整后的资产账面价值（扣除预计净残值）。资产减值损失一经确认，在以后会计期间不再转回。</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5</w:t>
      </w:r>
      <w:r w:rsidRPr="00F50B51">
        <w:rPr>
          <w:rFonts w:cs="Times New Roman" w:hint="eastAsia"/>
          <w:sz w:val="21"/>
          <w:szCs w:val="21"/>
        </w:rPr>
        <w:t>）资产组的认定及减值处理</w:t>
      </w:r>
    </w:p>
    <w:p w:rsidR="0058782B" w:rsidRPr="00F50B51" w:rsidRDefault="00F80EE7">
      <w:pPr>
        <w:pStyle w:val="a7"/>
        <w:spacing w:before="120" w:beforeAutospacing="0" w:after="0" w:afterAutospacing="0" w:line="440" w:lineRule="atLeast"/>
        <w:ind w:firstLine="424"/>
        <w:rPr>
          <w:rFonts w:ascii="Times New Roman" w:hAnsi="Times New Roman" w:cs="Times New Roman"/>
          <w:sz w:val="21"/>
          <w:szCs w:val="21"/>
        </w:rPr>
      </w:pPr>
      <w:r w:rsidRPr="00F50B51">
        <w:rPr>
          <w:rFonts w:cs="Times New Roman" w:hint="eastAsia"/>
          <w:sz w:val="21"/>
          <w:szCs w:val="21"/>
        </w:rPr>
        <w:t>有迹象表明一项资产可能发生减值的，公司以单项资产为基础估计其可收回金额。公司难以对单项资产的可收回金额进行估计的，以该资产</w:t>
      </w:r>
      <w:r w:rsidRPr="00F50B51">
        <w:rPr>
          <w:rFonts w:cs="Times New Roman" w:hint="eastAsia"/>
          <w:sz w:val="21"/>
          <w:szCs w:val="21"/>
        </w:rPr>
        <w:t>所属的资产组为基础确定资产组的可收回金额。资产组的认定，以资产组产生的主要现金流入是否独立于其他资产或者资产组的现金流入为依据。</w:t>
      </w:r>
    </w:p>
    <w:p w:rsidR="0058782B" w:rsidRPr="00F50B51" w:rsidRDefault="00F80EE7">
      <w:pPr>
        <w:pStyle w:val="a7"/>
        <w:spacing w:before="120" w:beforeAutospacing="0" w:after="0" w:afterAutospacing="0" w:line="400" w:lineRule="atLeast"/>
        <w:ind w:firstLine="424"/>
        <w:rPr>
          <w:rFonts w:ascii="Times New Roman" w:hAnsi="Times New Roman" w:cs="Times New Roman"/>
          <w:sz w:val="21"/>
          <w:szCs w:val="21"/>
        </w:rPr>
      </w:pPr>
      <w:r w:rsidRPr="00F50B51">
        <w:rPr>
          <w:rFonts w:cs="Times New Roman" w:hint="eastAsia"/>
          <w:sz w:val="21"/>
          <w:szCs w:val="21"/>
        </w:rPr>
        <w:t>资产组或者资产组组合的可收回金额低于其账面价值的（总部资产和商誉分摊至某资产组或者资产组组合的，该资产组或者资产组组合的账面价值应当包括相关总部资产和商誉的分摊额），确认相应的减值损失。减值损失金额先抵减分摊至资产组或者资产组组合中商誉的账面价值，再根据资产组或者资产组组合中除商誉之外的其他各项资产的账面价值所占比重，按比例抵减其他各项资产的账面价值。</w:t>
      </w:r>
    </w:p>
    <w:p w:rsidR="0058782B" w:rsidRPr="00F50B51" w:rsidRDefault="00F80EE7">
      <w:pPr>
        <w:pStyle w:val="a7"/>
        <w:spacing w:before="120" w:beforeAutospacing="0" w:after="0" w:afterAutospacing="0" w:line="40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6</w:t>
      </w:r>
      <w:r w:rsidRPr="00F50B51">
        <w:rPr>
          <w:rFonts w:cs="Times New Roman" w:hint="eastAsia"/>
          <w:sz w:val="21"/>
          <w:szCs w:val="21"/>
        </w:rPr>
        <w:t>）商誉减值</w:t>
      </w:r>
    </w:p>
    <w:p w:rsidR="0058782B" w:rsidRPr="00F50B51" w:rsidRDefault="00F80EE7">
      <w:pPr>
        <w:pStyle w:val="a7"/>
        <w:spacing w:before="120" w:beforeAutospacing="0" w:after="0" w:afterAutospacing="0" w:line="400" w:lineRule="atLeast"/>
        <w:ind w:firstLine="424"/>
        <w:jc w:val="both"/>
        <w:rPr>
          <w:rFonts w:ascii="Times New Roman" w:hAnsi="Times New Roman" w:cs="Times New Roman"/>
          <w:sz w:val="21"/>
          <w:szCs w:val="21"/>
        </w:rPr>
      </w:pPr>
      <w:r w:rsidRPr="00F50B51">
        <w:rPr>
          <w:rFonts w:cs="Times New Roman" w:hint="eastAsia"/>
          <w:sz w:val="21"/>
          <w:szCs w:val="21"/>
        </w:rPr>
        <w:t>公司因企业合并所形成的商誉，至少在每年年度终了进行减值测试。对于因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公司确定的报告分部。</w:t>
      </w:r>
    </w:p>
    <w:p w:rsidR="0058782B" w:rsidRPr="00F50B51" w:rsidRDefault="00F80EE7">
      <w:pPr>
        <w:pStyle w:val="a7"/>
        <w:spacing w:before="120" w:beforeAutospacing="0" w:after="0" w:afterAutospacing="0" w:line="400" w:lineRule="atLeast"/>
        <w:ind w:firstLine="359"/>
        <w:jc w:val="both"/>
        <w:rPr>
          <w:rFonts w:ascii="Times New Roman" w:hAnsi="Times New Roman" w:cs="Times New Roman"/>
          <w:sz w:val="21"/>
          <w:szCs w:val="21"/>
        </w:rPr>
      </w:pPr>
      <w:r w:rsidRPr="00F50B51">
        <w:rPr>
          <w:rFonts w:cs="Times New Roman" w:hint="eastAsia"/>
          <w:sz w:val="21"/>
          <w:szCs w:val="21"/>
        </w:rPr>
        <w:t>在对包含商誉的相关资产组或者资产组组合进行减值测试时，如与商誉相关的资产组或者资产组组合存在减值迹象的，应当先对不包含商誉的资产组或者资产组组合进行减值测试，计算可收回金额，并与相关账面价值相比较，确认相应的减</w:t>
      </w:r>
      <w:r w:rsidRPr="00F50B51">
        <w:rPr>
          <w:rFonts w:cs="Times New Roman" w:hint="eastAsia"/>
          <w:sz w:val="21"/>
          <w:szCs w:val="21"/>
        </w:rPr>
        <w:t>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并按照本附注所述资产组减值的规定进行处理。</w:t>
      </w:r>
    </w:p>
    <w:p w:rsidR="0058782B" w:rsidRPr="00F50B51" w:rsidRDefault="00F80EE7">
      <w:pPr>
        <w:pStyle w:val="3"/>
        <w:spacing w:line="280" w:lineRule="exact"/>
        <w:jc w:val="left"/>
        <w:rPr>
          <w:rFonts w:ascii="宋体" w:hAnsi="宋体" w:cs="宋体"/>
          <w:b/>
          <w:bCs/>
        </w:rPr>
      </w:pPr>
      <w:bookmarkStart w:id="156" w:name="_Toc989044"/>
      <w:r w:rsidRPr="00F50B51">
        <w:rPr>
          <w:rFonts w:ascii="宋体" w:hAnsi="宋体" w:cs="宋体"/>
          <w:b/>
          <w:bCs/>
        </w:rPr>
        <w:t>32</w:t>
      </w:r>
      <w:r w:rsidRPr="00F50B51">
        <w:rPr>
          <w:rFonts w:ascii="宋体" w:hAnsi="宋体" w:cs="宋体"/>
          <w:b/>
          <w:bCs/>
        </w:rPr>
        <w:t>、长期待摊费用</w:t>
      </w:r>
      <w:bookmarkEnd w:id="156"/>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长期待摊费用是公司已经发生但应由本期和以后各期分担的分摊期限在一年以上的各项费用，以实际发生的支出入账并在其预计受益期内平均摊销。</w:t>
      </w:r>
    </w:p>
    <w:p w:rsidR="0058782B" w:rsidRPr="00F50B51" w:rsidRDefault="00F80EE7">
      <w:pPr>
        <w:pStyle w:val="3"/>
        <w:spacing w:line="280" w:lineRule="exact"/>
        <w:jc w:val="left"/>
        <w:rPr>
          <w:rFonts w:ascii="宋体" w:hAnsi="宋体" w:cs="宋体"/>
          <w:b/>
          <w:bCs/>
        </w:rPr>
      </w:pPr>
      <w:bookmarkStart w:id="157" w:name="_Toc989045"/>
      <w:r w:rsidRPr="00F50B51">
        <w:rPr>
          <w:rFonts w:ascii="宋体" w:hAnsi="宋体" w:cs="宋体"/>
          <w:b/>
          <w:bCs/>
        </w:rPr>
        <w:t>33</w:t>
      </w:r>
      <w:r w:rsidRPr="00F50B51">
        <w:rPr>
          <w:rFonts w:ascii="宋体" w:hAnsi="宋体" w:cs="宋体"/>
          <w:b/>
          <w:bCs/>
        </w:rPr>
        <w:t>、合同负债</w:t>
      </w:r>
      <w:bookmarkEnd w:id="157"/>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合同负债的确认方法</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公司根据履行履约义务与客户付款之间的关系在资产负债表中列</w:t>
      </w:r>
      <w:r w:rsidRPr="00F50B51">
        <w:rPr>
          <w:rFonts w:cs="Times New Roman" w:hint="eastAsia"/>
          <w:sz w:val="21"/>
          <w:szCs w:val="21"/>
        </w:rPr>
        <w:t>示合同资产或合同负债。</w:t>
      </w:r>
      <w:r w:rsidRPr="00F50B51">
        <w:rPr>
          <w:rFonts w:cs="Times New Roman" w:hint="eastAsia"/>
          <w:sz w:val="21"/>
          <w:szCs w:val="21"/>
        </w:rPr>
        <w:t xml:space="preserve"> </w:t>
      </w:r>
      <w:r w:rsidRPr="00F50B51">
        <w:rPr>
          <w:rFonts w:cs="Times New Roman" w:hint="eastAsia"/>
          <w:sz w:val="21"/>
          <w:szCs w:val="21"/>
        </w:rPr>
        <w:t>公司将同一合同下的合同资产和合同负债相互抵销后以净额列示。</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公司将拥有的、无条件（即，仅取决于时间流逝）</w:t>
      </w:r>
      <w:r w:rsidRPr="00F50B51">
        <w:rPr>
          <w:rFonts w:ascii="Times New Roman" w:hAnsi="Times New Roman" w:cs="Times New Roman"/>
          <w:sz w:val="21"/>
          <w:szCs w:val="21"/>
        </w:rPr>
        <w:t> </w:t>
      </w:r>
      <w:r w:rsidRPr="00F50B51">
        <w:rPr>
          <w:rFonts w:cs="Times New Roman" w:hint="eastAsia"/>
          <w:sz w:val="21"/>
          <w:szCs w:val="21"/>
        </w:rPr>
        <w:t>向客户收取对价的权利作为应收款项列示，将已向客户转让商品而有权收取对价的权利（该权利取决于时间流逝之外的其他因素）</w:t>
      </w:r>
      <w:r w:rsidRPr="00F50B51">
        <w:rPr>
          <w:rFonts w:ascii="Times New Roman" w:hAnsi="Times New Roman" w:cs="Times New Roman"/>
          <w:sz w:val="21"/>
          <w:szCs w:val="21"/>
        </w:rPr>
        <w:t> </w:t>
      </w:r>
      <w:r w:rsidRPr="00F50B51">
        <w:rPr>
          <w:rFonts w:cs="Times New Roman" w:hint="eastAsia"/>
          <w:sz w:val="21"/>
          <w:szCs w:val="21"/>
        </w:rPr>
        <w:t>作为合同资产列示。</w:t>
      </w:r>
    </w:p>
    <w:p w:rsidR="0058782B" w:rsidRPr="00F50B51" w:rsidRDefault="00F80EE7">
      <w:pPr>
        <w:pStyle w:val="a7"/>
        <w:spacing w:before="0" w:beforeAutospacing="0" w:after="0" w:afterAutospacing="0"/>
        <w:jc w:val="both"/>
        <w:rPr>
          <w:rFonts w:ascii="Times New Roman" w:hAnsi="Times New Roman" w:cs="Times New Roman"/>
          <w:sz w:val="21"/>
          <w:szCs w:val="21"/>
        </w:rPr>
      </w:pPr>
      <w:r w:rsidRPr="00F50B51">
        <w:rPr>
          <w:rFonts w:cs="Times New Roman" w:hint="eastAsia"/>
          <w:sz w:val="21"/>
          <w:szCs w:val="21"/>
        </w:rPr>
        <w:t>公司将已收或应收客户对价而应向客户转让商品的义务作为合同负债列示。</w:t>
      </w:r>
    </w:p>
    <w:p w:rsidR="0058782B" w:rsidRPr="00F50B51" w:rsidRDefault="00F80EE7">
      <w:pPr>
        <w:pStyle w:val="3"/>
        <w:spacing w:line="280" w:lineRule="exact"/>
        <w:jc w:val="left"/>
        <w:rPr>
          <w:rFonts w:ascii="宋体" w:hAnsi="宋体" w:cs="宋体"/>
          <w:b/>
          <w:bCs/>
        </w:rPr>
      </w:pPr>
      <w:bookmarkStart w:id="158" w:name="_Toc989046"/>
      <w:r w:rsidRPr="00F50B51">
        <w:rPr>
          <w:rFonts w:ascii="宋体" w:hAnsi="宋体" w:cs="宋体"/>
          <w:b/>
          <w:bCs/>
        </w:rPr>
        <w:t>34</w:t>
      </w:r>
      <w:r w:rsidRPr="00F50B51">
        <w:rPr>
          <w:rFonts w:ascii="宋体" w:hAnsi="宋体" w:cs="宋体"/>
          <w:b/>
          <w:bCs/>
        </w:rPr>
        <w:t>、职工薪酬</w:t>
      </w:r>
      <w:bookmarkEnd w:id="158"/>
    </w:p>
    <w:p w:rsidR="0058782B" w:rsidRPr="00F50B51" w:rsidRDefault="00F80EE7">
      <w:pPr>
        <w:keepNext/>
        <w:keepLines/>
        <w:spacing w:before="300" w:after="300" w:line="280" w:lineRule="exact"/>
        <w:outlineLvl w:val="3"/>
        <w:rPr>
          <w:rFonts w:ascii="宋体" w:eastAsia="宋体" w:hAnsi="宋体" w:cs="宋体"/>
          <w:b/>
          <w:bCs/>
          <w:szCs w:val="21"/>
        </w:rPr>
      </w:pPr>
      <w:bookmarkStart w:id="159" w:name="_Toc989047"/>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短期薪酬的会计处理方法</w:t>
      </w:r>
      <w:bookmarkEnd w:id="159"/>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职工薪酬，是指公司为获得职工提供的服务或解除劳动关系而给予的各种形式的报酬或补偿。职工薪酬包括短期薪酬、离职后福利、辞退福利和其他长期职工福利。企业提供给职工配偶、子女、受赡养人、已故员工遗属及其他受益人等的福利，也属于职工薪酬。</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本公司在职工提供相关服务的会计期间，将实际发生的职工工资、奖金、津贴和补贴，职工福利费，医疗保险费、工伤保险费和生育保险费等社会保险费，住房公积金，工会经费和职工教育经费等确认为负债，并计入当期损益或相关资产成本。如果该负债预期在职工提供相关服务的年度报告期结束后十二个月内不能完</w:t>
      </w:r>
      <w:r w:rsidRPr="00F50B51">
        <w:rPr>
          <w:rFonts w:cs="Times New Roman" w:hint="eastAsia"/>
          <w:sz w:val="21"/>
          <w:szCs w:val="21"/>
        </w:rPr>
        <w:t>全支付，且财务影响重大的，则该负债将以折现后的金额计量。</w:t>
      </w:r>
    </w:p>
    <w:p w:rsidR="0058782B" w:rsidRPr="00F50B51" w:rsidRDefault="00F80EE7">
      <w:pPr>
        <w:keepNext/>
        <w:keepLines/>
        <w:spacing w:before="300" w:after="300" w:line="280" w:lineRule="exact"/>
        <w:outlineLvl w:val="3"/>
        <w:rPr>
          <w:rFonts w:ascii="宋体" w:eastAsia="宋体" w:hAnsi="宋体" w:cs="宋体"/>
          <w:b/>
          <w:bCs/>
          <w:szCs w:val="21"/>
        </w:rPr>
      </w:pPr>
      <w:bookmarkStart w:id="160" w:name="_Toc989048"/>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离职后福利的会计处理方法</w:t>
      </w:r>
      <w:bookmarkEnd w:id="160"/>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离职后福利，是指为获得职工提供的服务而在职工退休或与企业解除劳动关系后，提供的各种形式的报酬和福利，短期薪酬和辞退福利除外。本公司将离职后福利计划分类为设定提存计划和设定受益计划。</w:t>
      </w:r>
      <w:r w:rsidRPr="00F50B51">
        <w:rPr>
          <w:rFonts w:ascii="Times New Roman" w:hAnsi="Times New Roman" w:cs="Times New Roman"/>
          <w:sz w:val="21"/>
          <w:szCs w:val="21"/>
        </w:rPr>
        <w:t>A.</w:t>
      </w:r>
      <w:r w:rsidRPr="00F50B51">
        <w:rPr>
          <w:rFonts w:cs="Times New Roman" w:hint="eastAsia"/>
          <w:sz w:val="21"/>
          <w:szCs w:val="21"/>
        </w:rPr>
        <w:t>设定提存计划：公司向独立的基金缴存固定费用后，公司不再承担进一步支付义务的离职后福利计划。包含基本养老保险、失业保险等，在职工为其提供服务的会计期间，将根据设定提存计划计算的应缴存金额确认为负债，并计入当期损益或相关资产成本。</w:t>
      </w:r>
      <w:r w:rsidRPr="00F50B51">
        <w:rPr>
          <w:rFonts w:ascii="Times New Roman" w:hAnsi="Times New Roman" w:cs="Times New Roman"/>
          <w:sz w:val="21"/>
          <w:szCs w:val="21"/>
        </w:rPr>
        <w:t>B.</w:t>
      </w:r>
      <w:r w:rsidRPr="00F50B51">
        <w:rPr>
          <w:rFonts w:cs="Times New Roman" w:hint="eastAsia"/>
          <w:sz w:val="21"/>
          <w:szCs w:val="21"/>
        </w:rPr>
        <w:t>设定受</w:t>
      </w:r>
      <w:r w:rsidRPr="00F50B51">
        <w:rPr>
          <w:rFonts w:cs="Times New Roman" w:hint="eastAsia"/>
          <w:sz w:val="21"/>
          <w:szCs w:val="21"/>
        </w:rPr>
        <w:t>益计划：除设定提存计划以外的离职后福利计划。</w:t>
      </w:r>
    </w:p>
    <w:p w:rsidR="0058782B" w:rsidRPr="00F50B51" w:rsidRDefault="00F80EE7">
      <w:pPr>
        <w:keepNext/>
        <w:keepLines/>
        <w:spacing w:before="300" w:after="300" w:line="280" w:lineRule="exact"/>
        <w:outlineLvl w:val="3"/>
        <w:rPr>
          <w:rFonts w:ascii="宋体" w:eastAsia="宋体" w:hAnsi="宋体" w:cs="宋体"/>
          <w:b/>
          <w:bCs/>
          <w:szCs w:val="21"/>
        </w:rPr>
      </w:pPr>
      <w:bookmarkStart w:id="161" w:name="_Toc989049"/>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辞退福利的会计处理方法</w:t>
      </w:r>
      <w:bookmarkEnd w:id="161"/>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辞退福利，是指公司在职工劳动合同到期之前解除与职工的劳动关系，或者为鼓励职工自愿接受裁减而给予职工的补偿。公司向职工提供辞退福利的，在下列两者孰早日确认辞退福利产生的职工薪酬负债，并计入当期损益：</w:t>
      </w:r>
      <w:r w:rsidRPr="00F50B51">
        <w:rPr>
          <w:rFonts w:ascii="Times New Roman" w:hAnsi="Times New Roman" w:cs="Times New Roman"/>
          <w:sz w:val="21"/>
          <w:szCs w:val="21"/>
        </w:rPr>
        <w:t>A.</w:t>
      </w:r>
      <w:r w:rsidRPr="00F50B51">
        <w:rPr>
          <w:rFonts w:cs="Times New Roman" w:hint="eastAsia"/>
          <w:sz w:val="21"/>
          <w:szCs w:val="21"/>
        </w:rPr>
        <w:t>企业不能单方面撤回因解除劳动关系计划或裁减建议所提供的辞退福利时。</w:t>
      </w:r>
      <w:r w:rsidRPr="00F50B51">
        <w:rPr>
          <w:rFonts w:ascii="Times New Roman" w:hAnsi="Times New Roman" w:cs="Times New Roman"/>
          <w:sz w:val="21"/>
          <w:szCs w:val="21"/>
        </w:rPr>
        <w:t>B.</w:t>
      </w:r>
      <w:r w:rsidRPr="00F50B51">
        <w:rPr>
          <w:rFonts w:cs="Times New Roman" w:hint="eastAsia"/>
          <w:sz w:val="21"/>
          <w:szCs w:val="21"/>
        </w:rPr>
        <w:t>企业确认与涉及支付辞退福利的重组相关的成本或费用时。</w:t>
      </w:r>
    </w:p>
    <w:p w:rsidR="0058782B" w:rsidRPr="00F50B51" w:rsidRDefault="00F80EE7">
      <w:pPr>
        <w:keepNext/>
        <w:keepLines/>
        <w:spacing w:before="300" w:after="300" w:line="280" w:lineRule="exact"/>
        <w:outlineLvl w:val="3"/>
        <w:rPr>
          <w:rFonts w:ascii="宋体" w:eastAsia="宋体" w:hAnsi="宋体" w:cs="宋体"/>
          <w:b/>
          <w:bCs/>
          <w:szCs w:val="21"/>
        </w:rPr>
      </w:pPr>
      <w:bookmarkStart w:id="162" w:name="_Toc989050"/>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其他长期职工福利的会计处理方法</w:t>
      </w:r>
      <w:bookmarkEnd w:id="162"/>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163" w:name="_Toc989051"/>
      <w:r w:rsidRPr="00F50B51">
        <w:rPr>
          <w:rFonts w:ascii="宋体" w:hAnsi="宋体" w:cs="宋体"/>
          <w:b/>
          <w:bCs/>
        </w:rPr>
        <w:t>35</w:t>
      </w:r>
      <w:r w:rsidRPr="00F50B51">
        <w:rPr>
          <w:rFonts w:ascii="宋体" w:hAnsi="宋体" w:cs="宋体"/>
          <w:b/>
          <w:bCs/>
        </w:rPr>
        <w:t>、租赁负债</w:t>
      </w:r>
      <w:bookmarkEnd w:id="163"/>
    </w:p>
    <w:p w:rsidR="0058782B" w:rsidRPr="00F50B51" w:rsidRDefault="00F80EE7">
      <w:pPr>
        <w:pStyle w:val="a7"/>
        <w:spacing w:before="50" w:beforeAutospacing="0" w:line="360" w:lineRule="auto"/>
        <w:ind w:firstLine="200"/>
      </w:pPr>
      <w:r w:rsidRPr="00F50B51">
        <w:rPr>
          <w:rFonts w:hint="eastAsia"/>
          <w:color w:val="000000"/>
          <w:sz w:val="21"/>
          <w:szCs w:val="21"/>
        </w:rPr>
        <w:t>在租赁期开始日，公司将尚未支付的租赁付款额的现值确认</w:t>
      </w:r>
      <w:r w:rsidRPr="00F50B51">
        <w:rPr>
          <w:rFonts w:hint="eastAsia"/>
          <w:color w:val="000000"/>
          <w:sz w:val="21"/>
          <w:szCs w:val="21"/>
        </w:rPr>
        <w:t>为租赁负债，短期租赁和低价值资产租赁除外。在计算租赁付款额的现值时，公司采用租赁内含利率作为折现率；无法确定租赁内含利率的，采用承租人增量借款利率作为折现率。公司按照固定的周期性利率计算租赁负债在租赁期内各期间的利息费用，并计入当期损益，但另有规定计入相关资产成本的除外。未纳入租赁负债计量的可变租赁付款额于实际发生时计入当期损益，但另有规定计入相关资产成本的除外。</w:t>
      </w:r>
      <w:r w:rsidRPr="00F50B51">
        <w:rPr>
          <w:rFonts w:hint="eastAsia"/>
          <w:color w:val="000000"/>
          <w:sz w:val="21"/>
          <w:szCs w:val="21"/>
        </w:rPr>
        <w:t xml:space="preserve"> </w:t>
      </w:r>
    </w:p>
    <w:p w:rsidR="0058782B" w:rsidRPr="00F50B51" w:rsidRDefault="00F80EE7">
      <w:pPr>
        <w:pStyle w:val="a7"/>
        <w:spacing w:before="50" w:beforeAutospacing="0" w:line="360" w:lineRule="auto"/>
        <w:ind w:firstLine="200"/>
      </w:pPr>
      <w:r w:rsidRPr="00F50B51">
        <w:rPr>
          <w:rFonts w:hint="eastAsia"/>
          <w:color w:val="000000"/>
          <w:sz w:val="21"/>
          <w:szCs w:val="21"/>
        </w:rPr>
        <w:t>租赁期开始日后，当实质固定付款额发生变动、担保余值预计的应付金额发生变化、用于确定租赁付款额的指数或比率发生变动、购买选择权、续租选择权或终止</w:t>
      </w:r>
      <w:r w:rsidRPr="00F50B51">
        <w:rPr>
          <w:rFonts w:hint="eastAsia"/>
          <w:color w:val="000000"/>
          <w:sz w:val="21"/>
          <w:szCs w:val="21"/>
        </w:rPr>
        <w:t>选择权的评估结果或实际行权情况发生变化时，公司按照变动后的租赁付款额的现值重新计量租赁负债。</w:t>
      </w:r>
    </w:p>
    <w:p w:rsidR="0058782B" w:rsidRPr="00F50B51" w:rsidRDefault="00F80EE7">
      <w:pPr>
        <w:pStyle w:val="3"/>
        <w:spacing w:line="280" w:lineRule="exact"/>
        <w:jc w:val="left"/>
        <w:rPr>
          <w:rFonts w:ascii="宋体" w:hAnsi="宋体" w:cs="宋体"/>
          <w:b/>
          <w:bCs/>
        </w:rPr>
      </w:pPr>
      <w:bookmarkStart w:id="164" w:name="_Toc989052"/>
      <w:r w:rsidRPr="00F50B51">
        <w:rPr>
          <w:rFonts w:ascii="宋体" w:hAnsi="宋体" w:cs="宋体"/>
          <w:b/>
          <w:bCs/>
        </w:rPr>
        <w:t>36</w:t>
      </w:r>
      <w:r w:rsidRPr="00F50B51">
        <w:rPr>
          <w:rFonts w:ascii="宋体" w:hAnsi="宋体" w:cs="宋体"/>
          <w:b/>
          <w:bCs/>
        </w:rPr>
        <w:t>、预计负债</w:t>
      </w:r>
      <w:bookmarkEnd w:id="164"/>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）预计负债的确认标准</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当与对外担保、未决诉讼或仲裁、产品质量保证、裁员计划、亏损合同、重组义务、固定资产弃置义务等或有事项相关的业务同时符合以下条件时，确认为负债：</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、该义务是本公司承担的现时义务。</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、该义务的履行很可能导致经济利益流出企业。</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ascii="Times New Roman" w:hAnsi="Times New Roman" w:cs="Times New Roman"/>
          <w:sz w:val="21"/>
          <w:szCs w:val="21"/>
        </w:rPr>
        <w:t>C</w:t>
      </w:r>
      <w:r w:rsidRPr="00F50B51">
        <w:rPr>
          <w:rFonts w:cs="Times New Roman" w:hint="eastAsia"/>
          <w:sz w:val="21"/>
          <w:szCs w:val="21"/>
        </w:rPr>
        <w:t>、该义务的金额能够可靠地计量。</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）预计负债的计量方法</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预计负债按照履行现时义务所需支出的最佳估计数进行精算并初始计量。所需支出存在一个连续范围，且该范围内各种结果发生的可能性相同的最佳估计数按该范围的中间值确定；在其他情况下，最佳估计数按如下方法确定：</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、有事项涉及单个项目时，最佳估计数按最可能发生金额确定。</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、或有事项涉及多个项目时，最佳估计数按各种可能发生额及其发生概率计算确定。</w:t>
      </w:r>
    </w:p>
    <w:p w:rsidR="0058782B" w:rsidRPr="00F50B51" w:rsidRDefault="00F80EE7">
      <w:pPr>
        <w:pStyle w:val="a7"/>
        <w:spacing w:before="0" w:beforeAutospacing="0" w:after="0" w:afterAutospacing="0"/>
        <w:jc w:val="both"/>
        <w:rPr>
          <w:rFonts w:ascii="Times New Roman" w:hAnsi="Times New Roman" w:cs="Times New Roman"/>
          <w:sz w:val="21"/>
          <w:szCs w:val="21"/>
        </w:rPr>
      </w:pPr>
      <w:r w:rsidRPr="00F50B51">
        <w:rPr>
          <w:rFonts w:ascii="Times New Roman" w:hAnsi="Times New Roman" w:cs="Times New Roman"/>
          <w:sz w:val="21"/>
          <w:szCs w:val="21"/>
        </w:rPr>
        <w:t>C</w:t>
      </w:r>
      <w:r w:rsidRPr="00F50B51">
        <w:rPr>
          <w:rFonts w:cs="Times New Roman" w:hint="eastAsia"/>
          <w:sz w:val="21"/>
          <w:szCs w:val="21"/>
        </w:rPr>
        <w:t>、公司清偿预计负债所需支出全部或部分预期由第三方或其他方补偿的，则补偿金额在基本确定能收到时，作为资产单独确认。确认的补偿金额不超过所确认预计负债的账面价值。</w:t>
      </w:r>
    </w:p>
    <w:p w:rsidR="0058782B" w:rsidRPr="00F50B51" w:rsidRDefault="00F80EE7">
      <w:pPr>
        <w:pStyle w:val="3"/>
        <w:spacing w:line="280" w:lineRule="exact"/>
        <w:jc w:val="left"/>
        <w:rPr>
          <w:rFonts w:ascii="宋体" w:hAnsi="宋体" w:cs="宋体"/>
          <w:b/>
          <w:bCs/>
        </w:rPr>
      </w:pPr>
      <w:bookmarkStart w:id="165" w:name="_Toc989053"/>
      <w:r w:rsidRPr="00F50B51">
        <w:rPr>
          <w:rFonts w:ascii="宋体" w:hAnsi="宋体" w:cs="宋体"/>
          <w:b/>
          <w:bCs/>
        </w:rPr>
        <w:t>37</w:t>
      </w:r>
      <w:r w:rsidRPr="00F50B51">
        <w:rPr>
          <w:rFonts w:ascii="宋体" w:hAnsi="宋体" w:cs="宋体"/>
          <w:b/>
          <w:bCs/>
        </w:rPr>
        <w:t>、股份支付</w:t>
      </w:r>
      <w:bookmarkEnd w:id="165"/>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）股份支付的种类</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对于以权益结算的涉及职工的股份支付，按照授予日权益工具的公允价值计入成本费用和资本公积（其他资本公积），不确认其后续公允价值变动；在可行权之后不再对已确认的成本费用和所有者权益总额进行调整。按照行权情况，确认股本和股本溢价，同时结转等待期内确认的资本公积（其他资本公积）。其中：对于换取职工服务的股份支付，在等待期内的每个资产负债表日，以对可行权权益工具数量的最佳估计为基础，按照权益工具在授予日的公允价值，计入相关资产成本或当期费用，同时计入资本公积（其他资本公积）；对于</w:t>
      </w:r>
      <w:r w:rsidRPr="00F50B51">
        <w:rPr>
          <w:rFonts w:cs="Times New Roman" w:hint="eastAsia"/>
          <w:sz w:val="21"/>
          <w:szCs w:val="21"/>
        </w:rPr>
        <w:t>换取其他方服务的股份支付，以所换取其他方服务的公允价值计量。如果该公允价值不能可靠计量的，但权益工具的公允价值能够可靠计量的，则按权益工具在服务取得日的公允价值计量，计入相关资产成本或费用，同时计入资本公积（其他资本公积）。</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对于以现金结算的涉及职工的股份支付，按照每个资产负债表日权益工具的公允价值重新计量，确定成本费用和应付职工薪酬。在等待期内的每个资产负债表日，以对可行权权益工具数量的最佳估计为基础，按照承担的以股份或其他权益工具为基础计算确定的负债的公允价值计量，计入相关资产成本或费用，同时计入应付职</w:t>
      </w:r>
      <w:r w:rsidRPr="00F50B51">
        <w:rPr>
          <w:rFonts w:cs="Times New Roman" w:hint="eastAsia"/>
          <w:sz w:val="21"/>
          <w:szCs w:val="21"/>
        </w:rPr>
        <w:t>工薪酬。在可行权之后不再确认成本费用，对应付职工薪酬的公允价值重新计量，将其变动计入公允价值变动损益。</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）权益工具公允价值的确定方法</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对于授予的期权等权益工具存在活跃市场的，按照活跃市场中的报价确定其公允价值。对于授予的期权等权益工具不存在活跃市场的，采用期权定价模型等确定其公允价值，选用的期权定价模型至少应当考虑以下因素：①</w:t>
      </w:r>
      <w:r w:rsidRPr="00F50B51">
        <w:rPr>
          <w:rFonts w:ascii="Times New Roman" w:hAnsi="Times New Roman" w:cs="Times New Roman"/>
          <w:sz w:val="21"/>
          <w:szCs w:val="21"/>
        </w:rPr>
        <w:t> </w:t>
      </w:r>
      <w:r w:rsidRPr="00F50B51">
        <w:rPr>
          <w:rFonts w:cs="Times New Roman" w:hint="eastAsia"/>
          <w:sz w:val="21"/>
          <w:szCs w:val="21"/>
        </w:rPr>
        <w:t>期权的行权价格；②</w:t>
      </w:r>
      <w:r w:rsidRPr="00F50B51">
        <w:rPr>
          <w:rFonts w:ascii="Times New Roman" w:hAnsi="Times New Roman" w:cs="Times New Roman"/>
          <w:sz w:val="21"/>
          <w:szCs w:val="21"/>
        </w:rPr>
        <w:t> </w:t>
      </w:r>
      <w:r w:rsidRPr="00F50B51">
        <w:rPr>
          <w:rFonts w:cs="Times New Roman" w:hint="eastAsia"/>
          <w:sz w:val="21"/>
          <w:szCs w:val="21"/>
        </w:rPr>
        <w:t>期权的有效期；③</w:t>
      </w:r>
      <w:r w:rsidRPr="00F50B51">
        <w:rPr>
          <w:rFonts w:ascii="Times New Roman" w:hAnsi="Times New Roman" w:cs="Times New Roman"/>
          <w:sz w:val="21"/>
          <w:szCs w:val="21"/>
        </w:rPr>
        <w:t> </w:t>
      </w:r>
      <w:r w:rsidRPr="00F50B51">
        <w:rPr>
          <w:rFonts w:cs="Times New Roman" w:hint="eastAsia"/>
          <w:sz w:val="21"/>
          <w:szCs w:val="21"/>
        </w:rPr>
        <w:t>标的股份的现行价格；④</w:t>
      </w:r>
      <w:r w:rsidRPr="00F50B51">
        <w:rPr>
          <w:rFonts w:ascii="Times New Roman" w:hAnsi="Times New Roman" w:cs="Times New Roman"/>
          <w:sz w:val="21"/>
          <w:szCs w:val="21"/>
        </w:rPr>
        <w:t> </w:t>
      </w:r>
      <w:r w:rsidRPr="00F50B51">
        <w:rPr>
          <w:rFonts w:cs="Times New Roman" w:hint="eastAsia"/>
          <w:sz w:val="21"/>
          <w:szCs w:val="21"/>
        </w:rPr>
        <w:t>股价预计波动率；⑤</w:t>
      </w:r>
      <w:r w:rsidRPr="00F50B51">
        <w:rPr>
          <w:rFonts w:ascii="Times New Roman" w:hAnsi="Times New Roman" w:cs="Times New Roman"/>
          <w:sz w:val="21"/>
          <w:szCs w:val="21"/>
        </w:rPr>
        <w:t> </w:t>
      </w:r>
      <w:r w:rsidRPr="00F50B51">
        <w:rPr>
          <w:rFonts w:cs="Times New Roman" w:hint="eastAsia"/>
          <w:sz w:val="21"/>
          <w:szCs w:val="21"/>
        </w:rPr>
        <w:t>股份的预计股利；⑥</w:t>
      </w:r>
      <w:r w:rsidRPr="00F50B51">
        <w:rPr>
          <w:rFonts w:ascii="Times New Roman" w:hAnsi="Times New Roman" w:cs="Times New Roman"/>
          <w:sz w:val="21"/>
          <w:szCs w:val="21"/>
        </w:rPr>
        <w:t> </w:t>
      </w:r>
      <w:r w:rsidRPr="00F50B51">
        <w:rPr>
          <w:rFonts w:cs="Times New Roman" w:hint="eastAsia"/>
          <w:sz w:val="21"/>
          <w:szCs w:val="21"/>
        </w:rPr>
        <w:t>期权有效期内的无风险利率；⑦</w:t>
      </w:r>
      <w:r w:rsidRPr="00F50B51">
        <w:rPr>
          <w:rFonts w:ascii="Times New Roman" w:hAnsi="Times New Roman" w:cs="Times New Roman"/>
          <w:sz w:val="21"/>
          <w:szCs w:val="21"/>
        </w:rPr>
        <w:t> </w:t>
      </w:r>
      <w:r w:rsidRPr="00F50B51">
        <w:rPr>
          <w:rFonts w:cs="Times New Roman" w:hint="eastAsia"/>
          <w:sz w:val="21"/>
          <w:szCs w:val="21"/>
        </w:rPr>
        <w:t>分期行权的股份支付。</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）确认可行权权益工具</w:t>
      </w:r>
      <w:r w:rsidRPr="00F50B51">
        <w:rPr>
          <w:rFonts w:cs="Times New Roman" w:hint="eastAsia"/>
          <w:sz w:val="21"/>
          <w:szCs w:val="21"/>
        </w:rPr>
        <w:t>最佳估计的依据</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等待期内每个资产负债表日，公司根据最新取得的可行权职工人数变动等后续信息作出最佳估计，修正预计可行权的权益工具数量。在可行权日，最终预计可行权权益工具的数量应当与实际可行权数量一致。</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根据上述权益工具的公允价值和预计可行权的权益工具数量，计算截至当期累计应确认的成本费用金额，再减去前期累计已确认金额，作为当期应确认的成本费用金额。</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4</w:t>
      </w:r>
      <w:r w:rsidRPr="00F50B51">
        <w:rPr>
          <w:rFonts w:cs="Times New Roman" w:hint="eastAsia"/>
          <w:sz w:val="21"/>
          <w:szCs w:val="21"/>
        </w:rPr>
        <w:t>）实施、修改、终止股份支付计划的相关会计处理</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①</w:t>
      </w:r>
      <w:r w:rsidRPr="00F50B51">
        <w:rPr>
          <w:rFonts w:ascii="Times New Roman" w:hAnsi="Times New Roman" w:cs="Times New Roman"/>
          <w:sz w:val="21"/>
          <w:szCs w:val="21"/>
        </w:rPr>
        <w:t> </w:t>
      </w:r>
      <w:r w:rsidRPr="00F50B51">
        <w:rPr>
          <w:rFonts w:cs="Times New Roman" w:hint="eastAsia"/>
          <w:sz w:val="21"/>
          <w:szCs w:val="21"/>
        </w:rPr>
        <w:t>以权益结算的股份支付</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授予后立即可行权的换取职工服务的以权益结算的股份支付，在授予日按照权益工具的公允价值计</w:t>
      </w:r>
      <w:r w:rsidRPr="00F50B51">
        <w:rPr>
          <w:rFonts w:cs="Times New Roman" w:hint="eastAsia"/>
          <w:sz w:val="21"/>
          <w:szCs w:val="21"/>
        </w:rPr>
        <w:t>入相关成本或费用，相应调整资本公积。完成等待期内的服务或达到规定业绩条件才可行权的换取职工服务的以权益结算的股份支付，在等待期内的每个资产负债表日，以对可行权权益工具数量的最佳估计为基础，按权益工具授予日的公允价值，将当期取得的服务计入相关成本或费用，相应调整资本公积。</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换取其他方服务的权益结算的股份支付，如果其他方服务的公允价值能够可靠计量的，按照其他方服务在取得日的公允价值计量；如果其他方服务的公允价值不能可靠计量，但权益工具的公允价值能够可靠计量的，按照权益工具在服务取得日的公允价值计量，计入相关成本或费用，相应增加所有者权益。</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②</w:t>
      </w:r>
      <w:r w:rsidRPr="00F50B51">
        <w:rPr>
          <w:rFonts w:ascii="Times New Roman" w:hAnsi="Times New Roman" w:cs="Times New Roman"/>
          <w:sz w:val="21"/>
          <w:szCs w:val="21"/>
        </w:rPr>
        <w:t> </w:t>
      </w:r>
      <w:r w:rsidRPr="00F50B51">
        <w:rPr>
          <w:rFonts w:cs="Times New Roman" w:hint="eastAsia"/>
          <w:sz w:val="21"/>
          <w:szCs w:val="21"/>
        </w:rPr>
        <w:t>以现金结算的股份支付</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授予后立即可行权的换取职工服务的以现金结算的股份支付，在授予日按公司承担负债的公允价值计入相关成本或费用，相应增加负债。完成等待期内的服务或达到规定业绩条件才可行权的换取职工服务的以现金结算的股份支付，在等待期内的每</w:t>
      </w:r>
      <w:r w:rsidRPr="00F50B51">
        <w:rPr>
          <w:rFonts w:cs="Times New Roman" w:hint="eastAsia"/>
          <w:sz w:val="21"/>
          <w:szCs w:val="21"/>
        </w:rPr>
        <w:t>个资产负债表日，以对可行权情况的最佳估计为基础，按公司承担负债的公允价值，将当期取得的服务计入相关成本或费用和相应的负债。</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③</w:t>
      </w:r>
      <w:r w:rsidRPr="00F50B51">
        <w:rPr>
          <w:rFonts w:ascii="Times New Roman" w:hAnsi="Times New Roman" w:cs="Times New Roman"/>
          <w:sz w:val="21"/>
          <w:szCs w:val="21"/>
        </w:rPr>
        <w:t> </w:t>
      </w:r>
      <w:r w:rsidRPr="00F50B51">
        <w:rPr>
          <w:rFonts w:cs="Times New Roman" w:hint="eastAsia"/>
          <w:sz w:val="21"/>
          <w:szCs w:val="21"/>
        </w:rPr>
        <w:t>修改、终止股份支付计划</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如果修改增加了所授予的权益工具的公允价值，公司按照权益工具公允价值的增加相应地确认取得服务的增加；如果修改增加了所授予的权益工具的数量，公司将增加的权益工具的公允价值相应地确认为取得服务的增加；如果公司按照有利于职工的方式修改可行权条件，公司在处理可行权条件时，考虑修改后的可行权条件。如果修改减少了授予的权益工具的公允价值，公司继续以权益工具在授予日的公允价</w:t>
      </w:r>
      <w:r w:rsidRPr="00F50B51">
        <w:rPr>
          <w:rFonts w:cs="Times New Roman" w:hint="eastAsia"/>
          <w:sz w:val="21"/>
          <w:szCs w:val="21"/>
        </w:rPr>
        <w:t>值为基础，确认取得服务的金额，而不考虑权益工具公允价值的减少；如果修改减少了授予的权益工具的数量，公司将减少部分作为已授予的权益工具的取消来进行处理；如果以不利于职工的方式修改了可行权条件，在处理可行权条件时，不考虑修改后的可行权条件。</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如果公司在等待期内取消了所授予的权益工具或结算了所授予的权益工具（因未满足可行权条件而被取消的除外），则将取消或结算作为加速可行权处理，立即确认原本在剩余等待期内确认的金额。在取消或结算时支付给职工的所有款项均应作为权益的回购处理</w:t>
      </w:r>
      <w:r w:rsidRPr="00F50B51">
        <w:rPr>
          <w:rFonts w:ascii="Times New Roman" w:hAnsi="Times New Roman" w:cs="Times New Roman"/>
          <w:sz w:val="21"/>
          <w:szCs w:val="21"/>
        </w:rPr>
        <w:t>,</w:t>
      </w:r>
      <w:r w:rsidRPr="00F50B51">
        <w:rPr>
          <w:rFonts w:cs="Times New Roman" w:hint="eastAsia"/>
          <w:sz w:val="21"/>
          <w:szCs w:val="21"/>
        </w:rPr>
        <w:t>回购支付的金额高于该权益工具在回购日公允价</w:t>
      </w:r>
      <w:r w:rsidRPr="00F50B51">
        <w:rPr>
          <w:rFonts w:cs="Times New Roman" w:hint="eastAsia"/>
          <w:sz w:val="21"/>
          <w:szCs w:val="21"/>
        </w:rPr>
        <w:t>值的部分</w:t>
      </w:r>
      <w:r w:rsidRPr="00F50B51">
        <w:rPr>
          <w:rFonts w:ascii="Times New Roman" w:hAnsi="Times New Roman" w:cs="Times New Roman"/>
          <w:sz w:val="21"/>
          <w:szCs w:val="21"/>
        </w:rPr>
        <w:t>,</w:t>
      </w:r>
      <w:r w:rsidRPr="00F50B51">
        <w:rPr>
          <w:rFonts w:cs="Times New Roman" w:hint="eastAsia"/>
          <w:sz w:val="21"/>
          <w:szCs w:val="21"/>
        </w:rPr>
        <w:t>计入当期费用。如果向职工授予新的权益工具</w:t>
      </w:r>
      <w:r w:rsidRPr="00F50B51">
        <w:rPr>
          <w:rFonts w:ascii="Times New Roman" w:hAnsi="Times New Roman" w:cs="Times New Roman"/>
          <w:sz w:val="21"/>
          <w:szCs w:val="21"/>
        </w:rPr>
        <w:t>,</w:t>
      </w:r>
      <w:r w:rsidRPr="00F50B51">
        <w:rPr>
          <w:rFonts w:cs="Times New Roman" w:hint="eastAsia"/>
          <w:sz w:val="21"/>
          <w:szCs w:val="21"/>
        </w:rPr>
        <w:t>并在新权益工具授予日认定所授予的新权益工具是用于替代被取消的权益工具的</w:t>
      </w:r>
      <w:r w:rsidRPr="00F50B51">
        <w:rPr>
          <w:rFonts w:ascii="Times New Roman" w:hAnsi="Times New Roman" w:cs="Times New Roman"/>
          <w:sz w:val="21"/>
          <w:szCs w:val="21"/>
        </w:rPr>
        <w:t>,</w:t>
      </w:r>
      <w:r w:rsidRPr="00F50B51">
        <w:rPr>
          <w:rFonts w:cs="Times New Roman" w:hint="eastAsia"/>
          <w:sz w:val="21"/>
          <w:szCs w:val="21"/>
        </w:rPr>
        <w:t>以处理原权益工具条款和条件修改相同的方式</w:t>
      </w:r>
      <w:r w:rsidRPr="00F50B51">
        <w:rPr>
          <w:rFonts w:ascii="Times New Roman" w:hAnsi="Times New Roman" w:cs="Times New Roman"/>
          <w:sz w:val="21"/>
          <w:szCs w:val="21"/>
        </w:rPr>
        <w:t>,</w:t>
      </w:r>
      <w:r w:rsidRPr="00F50B51">
        <w:rPr>
          <w:rFonts w:cs="Times New Roman" w:hint="eastAsia"/>
          <w:sz w:val="21"/>
          <w:szCs w:val="21"/>
        </w:rPr>
        <w:t>对所授予的替代权益工具进行处理。如果回购其职工已可行权的权益工具</w:t>
      </w:r>
      <w:r w:rsidRPr="00F50B51">
        <w:rPr>
          <w:rFonts w:ascii="Times New Roman" w:hAnsi="Times New Roman" w:cs="Times New Roman"/>
          <w:sz w:val="21"/>
          <w:szCs w:val="21"/>
        </w:rPr>
        <w:t>,</w:t>
      </w:r>
      <w:r w:rsidRPr="00F50B51">
        <w:rPr>
          <w:rFonts w:cs="Times New Roman" w:hint="eastAsia"/>
          <w:sz w:val="21"/>
          <w:szCs w:val="21"/>
        </w:rPr>
        <w:t>借记所有者权益</w:t>
      </w:r>
      <w:r w:rsidRPr="00F50B51">
        <w:rPr>
          <w:rFonts w:ascii="Times New Roman" w:hAnsi="Times New Roman" w:cs="Times New Roman"/>
          <w:sz w:val="21"/>
          <w:szCs w:val="21"/>
        </w:rPr>
        <w:t>,</w:t>
      </w:r>
      <w:r w:rsidRPr="00F50B51">
        <w:rPr>
          <w:rFonts w:cs="Times New Roman" w:hint="eastAsia"/>
          <w:sz w:val="21"/>
          <w:szCs w:val="21"/>
        </w:rPr>
        <w:t>回购支付的金额高于该权益工具在回购日公允价值的部分</w:t>
      </w:r>
      <w:r w:rsidRPr="00F50B51">
        <w:rPr>
          <w:rFonts w:ascii="Times New Roman" w:hAnsi="Times New Roman" w:cs="Times New Roman"/>
          <w:sz w:val="21"/>
          <w:szCs w:val="21"/>
        </w:rPr>
        <w:t>,</w:t>
      </w:r>
      <w:r w:rsidRPr="00F50B51">
        <w:rPr>
          <w:rFonts w:cs="Times New Roman" w:hint="eastAsia"/>
          <w:sz w:val="21"/>
          <w:szCs w:val="21"/>
        </w:rPr>
        <w:t>计入当期费用。</w:t>
      </w:r>
    </w:p>
    <w:p w:rsidR="0058782B" w:rsidRPr="00F50B51" w:rsidRDefault="00F80EE7">
      <w:pPr>
        <w:pStyle w:val="3"/>
        <w:spacing w:line="280" w:lineRule="exact"/>
        <w:jc w:val="left"/>
        <w:rPr>
          <w:rFonts w:ascii="宋体" w:hAnsi="宋体" w:cs="宋体"/>
          <w:b/>
          <w:bCs/>
        </w:rPr>
      </w:pPr>
      <w:bookmarkStart w:id="166" w:name="_Toc989054"/>
      <w:r w:rsidRPr="00F50B51">
        <w:rPr>
          <w:rFonts w:ascii="宋体" w:hAnsi="宋体" w:cs="宋体"/>
          <w:b/>
          <w:bCs/>
        </w:rPr>
        <w:t>38</w:t>
      </w:r>
      <w:r w:rsidRPr="00F50B51">
        <w:rPr>
          <w:rFonts w:ascii="宋体" w:hAnsi="宋体" w:cs="宋体"/>
          <w:b/>
          <w:bCs/>
        </w:rPr>
        <w:t>、优先股、永续债等其他金融工具</w:t>
      </w:r>
      <w:bookmarkEnd w:id="166"/>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167" w:name="_Toc989055"/>
      <w:r w:rsidRPr="00F50B51">
        <w:rPr>
          <w:rFonts w:ascii="宋体" w:hAnsi="宋体" w:cs="宋体"/>
          <w:b/>
          <w:bCs/>
        </w:rPr>
        <w:t>39</w:t>
      </w:r>
      <w:r w:rsidRPr="00F50B51">
        <w:rPr>
          <w:rFonts w:ascii="宋体" w:hAnsi="宋体" w:cs="宋体"/>
          <w:b/>
          <w:bCs/>
        </w:rPr>
        <w:t>、收入</w:t>
      </w:r>
      <w:bookmarkEnd w:id="167"/>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收入确认和计量所采用的会计政策</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）收入确认和计量所采用的的会计政策</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公司在履行了合同中的履约义务，即在客户取得相关商品控制权时确认收入。取得相关商品控制权，是指能够主导该商品的使用并从中获得几乎全部的经济利益。</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合同中包含两项或多项履约义务的，公司在合同开始日，按照各单项履约义务所承诺商品或服务的单独售价的相对比例，将交易价格分摊至各单项履约义务，按照分摊至各单项履约义务的交易价格计量收入。</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交易价格是公司因向客户转让商品或服务而预期有权收取的对价金额，不包括代第三方收取的款项。在确定合同交易价格时，如果存在可变对价，公司按照期望值或最可能发生金额确定可变对价的最佳估计数，</w:t>
      </w:r>
      <w:r w:rsidRPr="00F50B51">
        <w:rPr>
          <w:rFonts w:cs="Times New Roman" w:hint="eastAsia"/>
          <w:sz w:val="21"/>
          <w:szCs w:val="21"/>
        </w:rPr>
        <w:t xml:space="preserve"> </w:t>
      </w:r>
      <w:r w:rsidRPr="00F50B51">
        <w:rPr>
          <w:rFonts w:cs="Times New Roman" w:hint="eastAsia"/>
          <w:sz w:val="21"/>
          <w:szCs w:val="21"/>
        </w:rPr>
        <w:t>并以不超过在相关不确定性消除时累计已确认收入极可能不会发生重大转回的金额计入交易价格。合同中如果存在重大融资成分，公司将根据客户在取得商品控制权时即以现金支付的应付金额确定交易价格，该交易价格与合同对价之间的差额，在合同期间内采用实际利率法摊销，</w:t>
      </w:r>
      <w:r w:rsidRPr="00F50B51">
        <w:rPr>
          <w:rFonts w:cs="Times New Roman" w:hint="eastAsia"/>
          <w:sz w:val="21"/>
          <w:szCs w:val="21"/>
        </w:rPr>
        <w:t xml:space="preserve"> </w:t>
      </w:r>
      <w:r w:rsidRPr="00F50B51">
        <w:rPr>
          <w:rFonts w:cs="Times New Roman" w:hint="eastAsia"/>
          <w:sz w:val="21"/>
          <w:szCs w:val="21"/>
        </w:rPr>
        <w:t>对于控制权转移与客户支付价款间隔未超过一年的，公司不考虑其中的融资成分。</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满足下列条件之一的，属于在某一时段内履行履约义务；否则，属于在某一时点履行履约义务：</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①</w:t>
      </w:r>
      <w:r w:rsidRPr="00F50B51">
        <w:rPr>
          <w:rFonts w:cs="Times New Roman" w:hint="eastAsia"/>
          <w:sz w:val="21"/>
          <w:szCs w:val="21"/>
        </w:rPr>
        <w:t xml:space="preserve"> </w:t>
      </w:r>
      <w:r w:rsidRPr="00F50B51">
        <w:rPr>
          <w:rFonts w:cs="Times New Roman" w:hint="eastAsia"/>
          <w:sz w:val="21"/>
          <w:szCs w:val="21"/>
        </w:rPr>
        <w:t>客户在公司履约的同时即取得并消耗公司履约所带来的经济利益；</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②</w:t>
      </w:r>
      <w:r w:rsidRPr="00F50B51">
        <w:rPr>
          <w:rFonts w:cs="Times New Roman" w:hint="eastAsia"/>
          <w:sz w:val="21"/>
          <w:szCs w:val="21"/>
        </w:rPr>
        <w:t xml:space="preserve"> </w:t>
      </w:r>
      <w:r w:rsidRPr="00F50B51">
        <w:rPr>
          <w:rFonts w:cs="Times New Roman" w:hint="eastAsia"/>
          <w:sz w:val="21"/>
          <w:szCs w:val="21"/>
        </w:rPr>
        <w:t>客户能够控制公司履约过程中在建的商</w:t>
      </w:r>
      <w:r w:rsidRPr="00F50B51">
        <w:rPr>
          <w:rFonts w:cs="Times New Roman" w:hint="eastAsia"/>
          <w:sz w:val="21"/>
          <w:szCs w:val="21"/>
        </w:rPr>
        <w:t>品；</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③</w:t>
      </w:r>
      <w:r w:rsidRPr="00F50B51">
        <w:rPr>
          <w:rFonts w:cs="Times New Roman" w:hint="eastAsia"/>
          <w:sz w:val="21"/>
          <w:szCs w:val="21"/>
        </w:rPr>
        <w:t xml:space="preserve"> </w:t>
      </w:r>
      <w:r w:rsidRPr="00F50B51">
        <w:rPr>
          <w:rFonts w:cs="Times New Roman" w:hint="eastAsia"/>
          <w:sz w:val="21"/>
          <w:szCs w:val="21"/>
        </w:rPr>
        <w:t>公司履约过程中所产出的商品具有不可替代用途，且公司在整个合同期间有权就累计至今已完成的履约部分收取款项。</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对于在某一时段内履行的履约义务，公司在该段时间内按照履约进度确认收入，但是，履约进度不能合理确定的除外。公司按照投入法（或产出法）确定提供服务的履约进度。当履约进度不能合理确定时，公司已经发生的成本预计能够得到补偿的，按照已经发生的成本金额确认收入，直到履约进度能够合理确定为止。</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对于在某一时点履行的履约义务，公司在客户取得相关商品控制权时点确认收入。在判断客户是否已取得商品或服务控制权时，公</w:t>
      </w:r>
      <w:r w:rsidRPr="00F50B51">
        <w:rPr>
          <w:rFonts w:cs="Times New Roman" w:hint="eastAsia"/>
          <w:sz w:val="21"/>
          <w:szCs w:val="21"/>
        </w:rPr>
        <w:t>司会考虑下列迹象</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①</w:t>
      </w:r>
      <w:r w:rsidRPr="00F50B51">
        <w:rPr>
          <w:rFonts w:cs="Times New Roman" w:hint="eastAsia"/>
          <w:sz w:val="21"/>
          <w:szCs w:val="21"/>
        </w:rPr>
        <w:t xml:space="preserve"> </w:t>
      </w:r>
      <w:r w:rsidRPr="00F50B51">
        <w:rPr>
          <w:rFonts w:cs="Times New Roman" w:hint="eastAsia"/>
          <w:sz w:val="21"/>
          <w:szCs w:val="21"/>
        </w:rPr>
        <w:t>公司就该商品或服务享有现时收款权利，即客户就该商品负有现时付款义务</w:t>
      </w:r>
      <w:r w:rsidRPr="00F50B51">
        <w:rPr>
          <w:rFonts w:ascii="Times New Roman" w:hAnsi="Times New Roman" w:cs="Times New Roman"/>
          <w:sz w:val="21"/>
          <w:szCs w:val="21"/>
        </w:rPr>
        <w:t>;</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②</w:t>
      </w:r>
      <w:r w:rsidRPr="00F50B51">
        <w:rPr>
          <w:rFonts w:cs="Times New Roman" w:hint="eastAsia"/>
          <w:sz w:val="21"/>
          <w:szCs w:val="21"/>
        </w:rPr>
        <w:t xml:space="preserve"> </w:t>
      </w:r>
      <w:r w:rsidRPr="00F50B51">
        <w:rPr>
          <w:rFonts w:cs="Times New Roman" w:hint="eastAsia"/>
          <w:sz w:val="21"/>
          <w:szCs w:val="21"/>
        </w:rPr>
        <w:t>公司已将该商品的法定所有权转移给客户，即客户已拥有该商品的法定所有权</w:t>
      </w:r>
      <w:r w:rsidRPr="00F50B51">
        <w:rPr>
          <w:rFonts w:ascii="Times New Roman" w:hAnsi="Times New Roman" w:cs="Times New Roman"/>
          <w:sz w:val="21"/>
          <w:szCs w:val="21"/>
        </w:rPr>
        <w:t>;</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③</w:t>
      </w:r>
      <w:r w:rsidRPr="00F50B51">
        <w:rPr>
          <w:rFonts w:cs="Times New Roman" w:hint="eastAsia"/>
          <w:sz w:val="21"/>
          <w:szCs w:val="21"/>
        </w:rPr>
        <w:t xml:space="preserve"> </w:t>
      </w:r>
      <w:r w:rsidRPr="00F50B51">
        <w:rPr>
          <w:rFonts w:cs="Times New Roman" w:hint="eastAsia"/>
          <w:sz w:val="21"/>
          <w:szCs w:val="21"/>
        </w:rPr>
        <w:t>公司已将该商品的实物转移给客户，即客户已实物占有该商品；</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④</w:t>
      </w:r>
      <w:r w:rsidRPr="00F50B51">
        <w:rPr>
          <w:rFonts w:cs="Times New Roman" w:hint="eastAsia"/>
          <w:sz w:val="21"/>
          <w:szCs w:val="21"/>
        </w:rPr>
        <w:t xml:space="preserve"> </w:t>
      </w:r>
      <w:r w:rsidRPr="00F50B51">
        <w:rPr>
          <w:rFonts w:cs="Times New Roman" w:hint="eastAsia"/>
          <w:sz w:val="21"/>
          <w:szCs w:val="21"/>
        </w:rPr>
        <w:t>公司已将该商品所有权上的主要风险和报酬转移给客户，即客户已取得该商品所有权上的主要风险和报酬；</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⑤</w:t>
      </w:r>
      <w:r w:rsidRPr="00F50B51">
        <w:rPr>
          <w:rFonts w:cs="Times New Roman" w:hint="eastAsia"/>
          <w:sz w:val="21"/>
          <w:szCs w:val="21"/>
        </w:rPr>
        <w:t xml:space="preserve"> </w:t>
      </w:r>
      <w:r w:rsidRPr="00F50B51">
        <w:rPr>
          <w:rFonts w:cs="Times New Roman" w:hint="eastAsia"/>
          <w:sz w:val="21"/>
          <w:szCs w:val="21"/>
        </w:rPr>
        <w:t>客户已接受该商品。</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对于公司自第三方取得贸易类商品控制权后，再转让给客户，公司有权自主决定所交易商品的价格，即公司在向客户转让贸易类商品前能够控制该商品，因此公司是主要责任人，按照已收或应收对价总额确认收入。否则，公司为代理人，按照预期有权收取的佣金或手续费的金额确认收入，该金额应当按照已收或应收对价总额扣除应支付给其他相关方的价款后的净额，或者按照既定的佣金金额或比例等确定。</w:t>
      </w:r>
    </w:p>
    <w:p w:rsidR="0058782B" w:rsidRPr="00F50B51" w:rsidRDefault="00F80EE7">
      <w:pPr>
        <w:pStyle w:val="a7"/>
        <w:spacing w:before="120" w:beforeAutospacing="0" w:after="0" w:afterAutospacing="0" w:line="46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）公司收入实现的具体核算原则为：</w:t>
      </w:r>
    </w:p>
    <w:p w:rsidR="0058782B" w:rsidRPr="00F50B51" w:rsidRDefault="00F80EE7">
      <w:pPr>
        <w:pStyle w:val="a7"/>
        <w:spacing w:before="120" w:beforeAutospacing="0" w:after="0" w:afterAutospacing="0" w:line="440" w:lineRule="atLeast"/>
        <w:ind w:firstLine="424"/>
        <w:jc w:val="both"/>
        <w:rPr>
          <w:rFonts w:ascii="Times New Roman" w:hAnsi="Times New Roman" w:cs="Times New Roman"/>
          <w:sz w:val="21"/>
          <w:szCs w:val="21"/>
        </w:rPr>
      </w:pPr>
      <w:r w:rsidRPr="00F50B51">
        <w:rPr>
          <w:rFonts w:cs="Times New Roman" w:hint="eastAsia"/>
          <w:sz w:val="21"/>
          <w:szCs w:val="21"/>
        </w:rPr>
        <w:t>公司与客户之间的销售商品合同，属于在某一时点履行履约义务。</w:t>
      </w:r>
    </w:p>
    <w:tbl>
      <w:tblPr>
        <w:tblW w:w="8804" w:type="dxa"/>
        <w:tblCellMar>
          <w:top w:w="15" w:type="dxa"/>
          <w:left w:w="15" w:type="dxa"/>
          <w:bottom w:w="15" w:type="dxa"/>
          <w:right w:w="15" w:type="dxa"/>
        </w:tblCellMar>
        <w:tblLook w:val="04A0"/>
      </w:tblPr>
      <w:tblGrid>
        <w:gridCol w:w="1152"/>
        <w:gridCol w:w="7652"/>
      </w:tblGrid>
      <w:tr w:rsidR="0058782B" w:rsidRPr="00F50B51">
        <w:trPr>
          <w:trHeight w:val="604"/>
        </w:trPr>
        <w:tc>
          <w:tcPr>
            <w:tcW w:w="11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center"/>
              <w:rPr>
                <w:rFonts w:ascii="Times New Roman" w:hAnsi="Times New Roman" w:cs="Times New Roman"/>
                <w:sz w:val="21"/>
                <w:szCs w:val="21"/>
              </w:rPr>
            </w:pPr>
            <w:r w:rsidRPr="00F50B51">
              <w:rPr>
                <w:rStyle w:val="a9"/>
                <w:rFonts w:cs="Times New Roman" w:hint="eastAsia"/>
                <w:color w:val="000000"/>
                <w:sz w:val="21"/>
                <w:szCs w:val="21"/>
              </w:rPr>
              <w:t>内</w:t>
            </w:r>
            <w:r w:rsidRPr="00F50B51">
              <w:rPr>
                <w:rStyle w:val="a9"/>
                <w:rFonts w:ascii="Times New Roman" w:hAnsi="Times New Roman" w:cs="Times New Roman"/>
                <w:color w:val="000000"/>
                <w:sz w:val="21"/>
                <w:szCs w:val="21"/>
              </w:rPr>
              <w:t>/</w:t>
            </w:r>
            <w:r w:rsidRPr="00F50B51">
              <w:rPr>
                <w:rStyle w:val="a9"/>
                <w:rFonts w:cs="Times New Roman" w:hint="eastAsia"/>
                <w:color w:val="000000"/>
                <w:sz w:val="21"/>
                <w:szCs w:val="21"/>
              </w:rPr>
              <w:t>外销</w:t>
            </w:r>
          </w:p>
        </w:tc>
        <w:tc>
          <w:tcPr>
            <w:tcW w:w="76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center"/>
              <w:rPr>
                <w:rFonts w:ascii="Times New Roman" w:hAnsi="Times New Roman" w:cs="Times New Roman"/>
                <w:sz w:val="21"/>
                <w:szCs w:val="21"/>
              </w:rPr>
            </w:pPr>
            <w:r w:rsidRPr="00F50B51">
              <w:rPr>
                <w:rStyle w:val="a9"/>
                <w:rFonts w:cs="Times New Roman" w:hint="eastAsia"/>
                <w:color w:val="000000"/>
                <w:sz w:val="21"/>
                <w:szCs w:val="21"/>
              </w:rPr>
              <w:t>具体收入确认原则</w:t>
            </w:r>
          </w:p>
        </w:tc>
      </w:tr>
      <w:tr w:rsidR="0058782B" w:rsidRPr="00F50B51">
        <w:trPr>
          <w:trHeight w:val="543"/>
        </w:trPr>
        <w:tc>
          <w:tcPr>
            <w:tcW w:w="11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center"/>
              <w:rPr>
                <w:rFonts w:ascii="Times New Roman" w:hAnsi="Times New Roman" w:cs="Times New Roman"/>
                <w:sz w:val="21"/>
                <w:szCs w:val="21"/>
              </w:rPr>
            </w:pPr>
            <w:r w:rsidRPr="00F50B51">
              <w:rPr>
                <w:rFonts w:cs="Times New Roman" w:hint="eastAsia"/>
                <w:color w:val="000000"/>
                <w:sz w:val="21"/>
                <w:szCs w:val="21"/>
              </w:rPr>
              <w:t>内销</w:t>
            </w:r>
          </w:p>
        </w:tc>
        <w:tc>
          <w:tcPr>
            <w:tcW w:w="7652" w:type="dxa"/>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rPr>
                <w:rFonts w:ascii="Times New Roman" w:hAnsi="Times New Roman" w:cs="Times New Roman"/>
                <w:sz w:val="21"/>
                <w:szCs w:val="21"/>
              </w:rPr>
            </w:pPr>
            <w:r w:rsidRPr="00F50B51">
              <w:rPr>
                <w:rFonts w:cs="Times New Roman" w:hint="eastAsia"/>
                <w:sz w:val="21"/>
                <w:szCs w:val="21"/>
              </w:rPr>
              <w:t>按购货方要求将产品交付客户并验收确认。</w:t>
            </w:r>
          </w:p>
        </w:tc>
      </w:tr>
      <w:tr w:rsidR="0058782B" w:rsidRPr="00F50B51">
        <w:trPr>
          <w:trHeight w:val="565"/>
        </w:trPr>
        <w:tc>
          <w:tcPr>
            <w:tcW w:w="11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jc w:val="center"/>
              <w:rPr>
                <w:rFonts w:ascii="Times New Roman" w:hAnsi="Times New Roman" w:cs="Times New Roman"/>
                <w:sz w:val="21"/>
                <w:szCs w:val="21"/>
              </w:rPr>
            </w:pPr>
            <w:r w:rsidRPr="00F50B51">
              <w:rPr>
                <w:rFonts w:cs="Times New Roman" w:hint="eastAsia"/>
                <w:color w:val="000000"/>
                <w:sz w:val="21"/>
                <w:szCs w:val="21"/>
              </w:rPr>
              <w:t>外销</w:t>
            </w:r>
          </w:p>
        </w:tc>
        <w:tc>
          <w:tcPr>
            <w:tcW w:w="7652" w:type="dxa"/>
            <w:tcBorders>
              <w:top w:val="nil"/>
              <w:left w:val="nil"/>
              <w:bottom w:val="single" w:sz="8" w:space="0" w:color="auto"/>
              <w:right w:val="single" w:sz="8" w:space="0" w:color="auto"/>
            </w:tcBorders>
            <w:tcMar>
              <w:top w:w="0" w:type="dxa"/>
              <w:left w:w="108" w:type="dxa"/>
              <w:bottom w:w="0" w:type="dxa"/>
              <w:right w:w="108" w:type="dxa"/>
            </w:tcMar>
            <w:vAlign w:val="center"/>
          </w:tcPr>
          <w:p w:rsidR="0058782B" w:rsidRPr="00F50B51" w:rsidRDefault="00F80EE7">
            <w:pPr>
              <w:pStyle w:val="a7"/>
              <w:spacing w:before="0" w:beforeAutospacing="0" w:after="0" w:afterAutospacing="0" w:line="460" w:lineRule="atLeast"/>
              <w:rPr>
                <w:rFonts w:ascii="Times New Roman" w:hAnsi="Times New Roman" w:cs="Times New Roman"/>
                <w:sz w:val="21"/>
                <w:szCs w:val="21"/>
              </w:rPr>
            </w:pPr>
            <w:r w:rsidRPr="00F50B51">
              <w:rPr>
                <w:rFonts w:cs="Times New Roman" w:hint="eastAsia"/>
                <w:color w:val="000000"/>
                <w:sz w:val="21"/>
                <w:szCs w:val="21"/>
              </w:rPr>
              <w:t>（</w:t>
            </w:r>
            <w:r w:rsidRPr="00F50B51">
              <w:rPr>
                <w:rFonts w:ascii="Times New Roman" w:hAnsi="Times New Roman" w:cs="Times New Roman"/>
                <w:color w:val="000000"/>
                <w:sz w:val="21"/>
                <w:szCs w:val="21"/>
              </w:rPr>
              <w:t>1</w:t>
            </w:r>
            <w:r w:rsidRPr="00F50B51">
              <w:rPr>
                <w:rFonts w:cs="Times New Roman" w:hint="eastAsia"/>
                <w:color w:val="000000"/>
                <w:sz w:val="21"/>
                <w:szCs w:val="21"/>
              </w:rPr>
              <w:t>）离岸价（</w:t>
            </w:r>
            <w:r w:rsidRPr="00F50B51">
              <w:rPr>
                <w:rFonts w:ascii="Times New Roman" w:hAnsi="Times New Roman" w:cs="Times New Roman"/>
                <w:color w:val="000000"/>
                <w:sz w:val="21"/>
                <w:szCs w:val="21"/>
              </w:rPr>
              <w:t>FOB</w:t>
            </w:r>
            <w:r w:rsidRPr="00F50B51">
              <w:rPr>
                <w:rFonts w:cs="Times New Roman" w:hint="eastAsia"/>
                <w:color w:val="000000"/>
                <w:sz w:val="21"/>
                <w:szCs w:val="21"/>
              </w:rPr>
              <w:t>）结算形式：采取海运方式报关出口，公司取得出口装船提单。</w:t>
            </w:r>
          </w:p>
          <w:p w:rsidR="0058782B" w:rsidRPr="00F50B51" w:rsidRDefault="00F80EE7">
            <w:pPr>
              <w:pStyle w:val="a7"/>
              <w:spacing w:before="0" w:beforeAutospacing="0" w:after="0" w:afterAutospacing="0" w:line="460" w:lineRule="atLeast"/>
              <w:rPr>
                <w:rFonts w:ascii="Times New Roman" w:hAnsi="Times New Roman" w:cs="Times New Roman"/>
                <w:sz w:val="21"/>
                <w:szCs w:val="21"/>
              </w:rPr>
            </w:pPr>
            <w:r w:rsidRPr="00F50B51">
              <w:rPr>
                <w:rFonts w:cs="Times New Roman" w:hint="eastAsia"/>
                <w:color w:val="000000"/>
                <w:sz w:val="21"/>
                <w:szCs w:val="21"/>
              </w:rPr>
              <w:t>（</w:t>
            </w:r>
            <w:r w:rsidRPr="00F50B51">
              <w:rPr>
                <w:rFonts w:ascii="Times New Roman" w:hAnsi="Times New Roman" w:cs="Times New Roman"/>
                <w:color w:val="000000"/>
                <w:sz w:val="21"/>
                <w:szCs w:val="21"/>
              </w:rPr>
              <w:t>2</w:t>
            </w:r>
            <w:r w:rsidRPr="00F50B51">
              <w:rPr>
                <w:rFonts w:cs="Times New Roman" w:hint="eastAsia"/>
                <w:color w:val="000000"/>
                <w:sz w:val="21"/>
                <w:szCs w:val="21"/>
              </w:rPr>
              <w:t>）其他结算形式：按合同要求货物到达提货点并取得客户验收确认。</w:t>
            </w:r>
          </w:p>
        </w:tc>
      </w:tr>
    </w:tbl>
    <w:p w:rsidR="0058782B" w:rsidRPr="00F50B51" w:rsidRDefault="0058782B">
      <w:pPr>
        <w:rPr>
          <w:rFonts w:ascii="宋体" w:hAnsi="宋体" w:cs="宋体"/>
          <w:sz w:val="24"/>
          <w:szCs w:val="24"/>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同类业务采用不同经营模式导致收入确认会计政策存在差异的情况</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168" w:name="_Toc989056"/>
      <w:r w:rsidRPr="00F50B51">
        <w:rPr>
          <w:rFonts w:ascii="宋体" w:hAnsi="宋体" w:cs="宋体"/>
          <w:b/>
          <w:bCs/>
        </w:rPr>
        <w:t>40</w:t>
      </w:r>
      <w:r w:rsidRPr="00F50B51">
        <w:rPr>
          <w:rFonts w:ascii="宋体" w:hAnsi="宋体" w:cs="宋体"/>
          <w:b/>
          <w:bCs/>
        </w:rPr>
        <w:t>、政府补助</w:t>
      </w:r>
      <w:bookmarkEnd w:id="168"/>
    </w:p>
    <w:p w:rsidR="0058782B" w:rsidRPr="00F50B51" w:rsidRDefault="00F80EE7">
      <w:pPr>
        <w:pStyle w:val="a7"/>
        <w:spacing w:before="120" w:beforeAutospacing="0" w:after="0" w:afterAutospacing="0" w:line="440" w:lineRule="atLeast"/>
        <w:ind w:firstLine="359"/>
        <w:jc w:val="both"/>
        <w:rPr>
          <w:rFonts w:ascii="Times New Roman" w:hAnsi="Times New Roman" w:cs="Times New Roman"/>
          <w:sz w:val="21"/>
          <w:szCs w:val="21"/>
        </w:rPr>
      </w:pPr>
      <w:r w:rsidRPr="00F50B51">
        <w:rPr>
          <w:rFonts w:cs="Times New Roman" w:hint="eastAsia"/>
          <w:sz w:val="21"/>
          <w:szCs w:val="21"/>
        </w:rPr>
        <w:t>政府补助是指公司从政府无偿取得货币性资产和非货币性资产，不包括政府作为所有者投入的资本。</w:t>
      </w:r>
    </w:p>
    <w:p w:rsidR="0058782B" w:rsidRPr="00F50B51" w:rsidRDefault="00F80EE7">
      <w:pPr>
        <w:pStyle w:val="a7"/>
        <w:spacing w:before="120" w:beforeAutospacing="0" w:after="0" w:afterAutospacing="0" w:line="440" w:lineRule="atLeast"/>
        <w:ind w:firstLine="359"/>
        <w:jc w:val="both"/>
        <w:rPr>
          <w:rFonts w:ascii="Times New Roman" w:hAnsi="Times New Roman" w:cs="Times New Roman"/>
          <w:sz w:val="21"/>
          <w:szCs w:val="21"/>
        </w:rPr>
      </w:pPr>
      <w:r w:rsidRPr="00F50B51">
        <w:rPr>
          <w:rFonts w:cs="Times New Roman" w:hint="eastAsia"/>
          <w:sz w:val="21"/>
          <w:szCs w:val="21"/>
        </w:rPr>
        <w:t>本公司在能够满足政府补助所附条件且能够收到政府补助时确认政府补助。其中：</w:t>
      </w:r>
    </w:p>
    <w:p w:rsidR="0058782B" w:rsidRPr="00F50B51" w:rsidRDefault="00F80EE7">
      <w:pPr>
        <w:pStyle w:val="a7"/>
        <w:spacing w:before="120" w:beforeAutospacing="0" w:after="0" w:afterAutospacing="0" w:line="440" w:lineRule="atLeast"/>
        <w:ind w:firstLine="359"/>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）政府补助为货币性资产的，按收到或应收的金额计量；政府补助为非货币性资产的，按公允价值计量，如公允价值不能可靠取得，则按名义金额计量。</w:t>
      </w:r>
    </w:p>
    <w:p w:rsidR="0058782B" w:rsidRPr="00F50B51" w:rsidRDefault="00F80EE7">
      <w:pPr>
        <w:pStyle w:val="a7"/>
        <w:spacing w:before="120" w:beforeAutospacing="0" w:after="0" w:afterAutospacing="0" w:line="440" w:lineRule="atLeast"/>
        <w:ind w:firstLine="359"/>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与资产相关的政府补助，冲减相关资产的账面价值或确认为递延收益。与资产相关的政府补助确认为递延收益的，在相关资产使用寿命内按照合理、系统的方法分期计入损益。按照名义金额计量的政府补助，直接计入当期损益。与收益相关的政府补助，用于补偿以后期间的相关费用和损失的，确认为递延收益，并在确认相关费用的期间计入当期损益或冲减相关成本；用于补偿已经发生的相关费用和损失的，直接计入当</w:t>
      </w:r>
      <w:r w:rsidRPr="00F50B51">
        <w:rPr>
          <w:rFonts w:cs="Times New Roman" w:hint="eastAsia"/>
          <w:sz w:val="21"/>
          <w:szCs w:val="21"/>
        </w:rPr>
        <w:t>期损益或冲减相关成本。</w:t>
      </w:r>
    </w:p>
    <w:p w:rsidR="0058782B" w:rsidRPr="00F50B51" w:rsidRDefault="00F80EE7">
      <w:pPr>
        <w:pStyle w:val="a7"/>
        <w:spacing w:before="120" w:beforeAutospacing="0" w:after="0" w:afterAutospacing="0" w:line="440" w:lineRule="atLeast"/>
        <w:ind w:firstLine="359"/>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）与企业日常活动相关的政府补助，按照经济业务实质，计入其他收益或冲减相关成本费用。与企业日常活动无关的政府补助，计入营业外收支。</w:t>
      </w:r>
    </w:p>
    <w:p w:rsidR="0058782B" w:rsidRPr="00F50B51" w:rsidRDefault="00F80EE7">
      <w:pPr>
        <w:pStyle w:val="a7"/>
        <w:spacing w:before="120" w:beforeAutospacing="0" w:after="0" w:afterAutospacing="0" w:line="440" w:lineRule="atLeast"/>
        <w:ind w:firstLine="359"/>
        <w:jc w:val="both"/>
        <w:rPr>
          <w:rFonts w:ascii="Times New Roman" w:hAnsi="Times New Roman" w:cs="Times New Roman"/>
          <w:sz w:val="21"/>
          <w:szCs w:val="21"/>
        </w:rPr>
      </w:pPr>
      <w:r w:rsidRPr="00F50B51">
        <w:rPr>
          <w:rFonts w:cs="Times New Roman" w:hint="eastAsia"/>
          <w:sz w:val="21"/>
          <w:szCs w:val="21"/>
        </w:rPr>
        <w:t>已确认的政府补助需要退回的，在需要退回的当期分情况按照以下规定进行会计处理：</w:t>
      </w:r>
    </w:p>
    <w:p w:rsidR="0058782B" w:rsidRPr="00F50B51" w:rsidRDefault="00F80EE7">
      <w:pPr>
        <w:pStyle w:val="a7"/>
        <w:spacing w:before="120" w:beforeAutospacing="0" w:after="0" w:afterAutospacing="0" w:line="440" w:lineRule="atLeast"/>
        <w:ind w:firstLine="359"/>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）初始确认时冲减相关资产账面价值的，调整资产账面价值；</w:t>
      </w:r>
    </w:p>
    <w:p w:rsidR="0058782B" w:rsidRPr="00F50B51" w:rsidRDefault="00F80EE7">
      <w:pPr>
        <w:pStyle w:val="a7"/>
        <w:spacing w:before="120" w:beforeAutospacing="0" w:after="0" w:afterAutospacing="0" w:line="440" w:lineRule="atLeast"/>
        <w:ind w:firstLine="359"/>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）存在相关递延收益的，冲减相关递延收益账面余额，超出部分计入当期损益；</w:t>
      </w:r>
    </w:p>
    <w:p w:rsidR="0058782B" w:rsidRPr="00F50B51" w:rsidRDefault="00F80EE7">
      <w:pPr>
        <w:pStyle w:val="a7"/>
        <w:spacing w:before="120" w:beforeAutospacing="0" w:after="0" w:afterAutospacing="0" w:line="440" w:lineRule="atLeast"/>
        <w:ind w:firstLine="359"/>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）属于其他情况的，直接计入当期损益。</w:t>
      </w:r>
    </w:p>
    <w:p w:rsidR="0058782B" w:rsidRPr="00F50B51" w:rsidRDefault="00F80EE7">
      <w:pPr>
        <w:pStyle w:val="3"/>
        <w:spacing w:line="280" w:lineRule="exact"/>
        <w:jc w:val="left"/>
        <w:rPr>
          <w:rFonts w:ascii="宋体" w:hAnsi="宋体" w:cs="宋体"/>
          <w:b/>
          <w:bCs/>
        </w:rPr>
      </w:pPr>
      <w:bookmarkStart w:id="169" w:name="_Toc989057"/>
      <w:r w:rsidRPr="00F50B51">
        <w:rPr>
          <w:rFonts w:ascii="宋体" w:hAnsi="宋体" w:cs="宋体"/>
          <w:b/>
          <w:bCs/>
        </w:rPr>
        <w:t>41</w:t>
      </w:r>
      <w:r w:rsidRPr="00F50B51">
        <w:rPr>
          <w:rFonts w:ascii="宋体" w:hAnsi="宋体" w:cs="宋体"/>
          <w:b/>
          <w:bCs/>
        </w:rPr>
        <w:t>、递延所得税资产</w:t>
      </w:r>
      <w:r w:rsidRPr="00F50B51">
        <w:rPr>
          <w:rFonts w:ascii="宋体" w:hAnsi="宋体" w:cs="宋体"/>
          <w:b/>
          <w:bCs/>
        </w:rPr>
        <w:t>/</w:t>
      </w:r>
      <w:r w:rsidRPr="00F50B51">
        <w:rPr>
          <w:rFonts w:ascii="宋体" w:hAnsi="宋体" w:cs="宋体"/>
          <w:b/>
          <w:bCs/>
        </w:rPr>
        <w:t>递延所得税负债</w:t>
      </w:r>
      <w:bookmarkEnd w:id="169"/>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）所得税的核算方法</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所得税费用的会计处理采用资产负债表债务法核算。资产负债表日，公司按照可抵扣暂时性差异与适用所得税税率计算的结果，确认递延所得税资产及相应的递延所得税收益；按照应纳税暂时性差异与适用企业所得税税率计算的结果，确认递延所得税负债及相应的递延所得税费用。</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）递延所得税资产的确认</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对于可抵扣暂时性差异、能够结转以后年度的可抵扣亏损和税款抵减，公司以很可能取得用来抵扣可抵扣暂时性差异、可抵扣亏损和税款抵减的未来应纳税所得额为限，确认由此产生的递延所得税资产，除非可抵扣暂时性差异是在以下交易中产生的：</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、该交易不</w:t>
      </w:r>
      <w:r w:rsidRPr="00F50B51">
        <w:rPr>
          <w:rFonts w:cs="Times New Roman" w:hint="eastAsia"/>
          <w:sz w:val="21"/>
          <w:szCs w:val="21"/>
        </w:rPr>
        <w:t>是企业合并，并且交易发生时既不影响会计利润也不影响应纳税所得额。</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）递延所得税负债的确认</w:t>
      </w:r>
    </w:p>
    <w:p w:rsidR="0058782B" w:rsidRPr="00F50B51" w:rsidRDefault="00F80EE7">
      <w:pPr>
        <w:pStyle w:val="a7"/>
        <w:spacing w:before="120" w:beforeAutospacing="0" w:after="0" w:afterAutospacing="0" w:line="440" w:lineRule="atLeast"/>
        <w:ind w:firstLine="424"/>
        <w:rPr>
          <w:rFonts w:ascii="Times New Roman" w:hAnsi="Times New Roman" w:cs="Times New Roman"/>
          <w:sz w:val="21"/>
          <w:szCs w:val="21"/>
        </w:rPr>
      </w:pPr>
      <w:r w:rsidRPr="00F50B51">
        <w:rPr>
          <w:rFonts w:cs="Times New Roman" w:hint="eastAsia"/>
          <w:sz w:val="21"/>
          <w:szCs w:val="21"/>
        </w:rPr>
        <w:t>对于各种应纳税暂时性差异均据以确认递延所得税负债，除非应纳税暂时性差异是在以下交易中产生的：</w:t>
      </w:r>
    </w:p>
    <w:p w:rsidR="0058782B" w:rsidRPr="00F50B51" w:rsidRDefault="00F80EE7">
      <w:pPr>
        <w:pStyle w:val="a7"/>
        <w:spacing w:before="120" w:beforeAutospacing="0" w:after="0" w:afterAutospacing="0" w:line="440" w:lineRule="atLeast"/>
        <w:ind w:firstLine="424"/>
        <w:rPr>
          <w:rFonts w:ascii="Times New Roman" w:hAnsi="Times New Roman" w:cs="Times New Roman"/>
          <w:sz w:val="21"/>
          <w:szCs w:val="21"/>
        </w:rPr>
      </w:pPr>
      <w:r w:rsidRPr="00F50B51">
        <w:rPr>
          <w:rFonts w:ascii="Times New Roman" w:hAnsi="Times New Roman" w:cs="Times New Roman"/>
          <w:sz w:val="21"/>
          <w:szCs w:val="21"/>
        </w:rPr>
        <w:t>A</w:t>
      </w:r>
      <w:r w:rsidRPr="00F50B51">
        <w:rPr>
          <w:rFonts w:cs="Times New Roman" w:hint="eastAsia"/>
          <w:sz w:val="21"/>
          <w:szCs w:val="21"/>
        </w:rPr>
        <w:t>、商誉的初始确认，或者具有以下特征的交易中产生的资产或负债的初始确认：该交易不是企业合并，并且交易发生时既不影响会计利</w:t>
      </w:r>
      <w:r w:rsidRPr="00F50B51">
        <w:rPr>
          <w:rFonts w:cs="Times New Roman" w:hint="eastAsia"/>
          <w:sz w:val="21"/>
          <w:szCs w:val="21"/>
        </w:rPr>
        <w:t>润也不影响应纳税所得额；</w:t>
      </w:r>
    </w:p>
    <w:p w:rsidR="0058782B" w:rsidRPr="00F50B51" w:rsidRDefault="00F80EE7">
      <w:pPr>
        <w:pStyle w:val="a7"/>
        <w:spacing w:before="120" w:beforeAutospacing="0" w:after="0" w:afterAutospacing="0" w:line="440" w:lineRule="atLeast"/>
        <w:ind w:firstLine="424"/>
        <w:rPr>
          <w:rFonts w:ascii="Times New Roman" w:hAnsi="Times New Roman" w:cs="Times New Roman"/>
          <w:sz w:val="21"/>
          <w:szCs w:val="21"/>
        </w:rPr>
      </w:pPr>
      <w:r w:rsidRPr="00F50B51">
        <w:rPr>
          <w:rFonts w:ascii="Times New Roman" w:hAnsi="Times New Roman" w:cs="Times New Roman"/>
          <w:sz w:val="21"/>
          <w:szCs w:val="21"/>
        </w:rPr>
        <w:t>B</w:t>
      </w:r>
      <w:r w:rsidRPr="00F50B51">
        <w:rPr>
          <w:rFonts w:cs="Times New Roman" w:hint="eastAsia"/>
          <w:sz w:val="21"/>
          <w:szCs w:val="21"/>
        </w:rPr>
        <w:t>、对于与子公司、合营企业及联营企业投资相关的应纳税暂时性差异，该暂时性差异转回的时间能够控制并且该暂时性差异在可预见的未来很可能不会转回。</w:t>
      </w:r>
    </w:p>
    <w:p w:rsidR="0058782B" w:rsidRPr="00F50B51" w:rsidRDefault="00F80EE7">
      <w:pPr>
        <w:pStyle w:val="a7"/>
        <w:spacing w:before="120" w:beforeAutospacing="0" w:after="0" w:afterAutospacing="0" w:line="44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4</w:t>
      </w:r>
      <w:r w:rsidRPr="00F50B51">
        <w:rPr>
          <w:rFonts w:cs="Times New Roman" w:hint="eastAsia"/>
          <w:sz w:val="21"/>
          <w:szCs w:val="21"/>
        </w:rPr>
        <w:t>）递延所得税资产的减值</w:t>
      </w:r>
    </w:p>
    <w:p w:rsidR="0058782B" w:rsidRPr="00F50B51" w:rsidRDefault="00F80EE7">
      <w:pPr>
        <w:pStyle w:val="a7"/>
        <w:spacing w:before="120" w:beforeAutospacing="0" w:after="0" w:afterAutospacing="0" w:line="440" w:lineRule="atLeast"/>
        <w:ind w:firstLine="359"/>
        <w:jc w:val="both"/>
        <w:rPr>
          <w:rFonts w:ascii="Times New Roman" w:hAnsi="Times New Roman" w:cs="Times New Roman"/>
          <w:sz w:val="21"/>
          <w:szCs w:val="21"/>
        </w:rPr>
      </w:pPr>
      <w:r w:rsidRPr="00F50B51">
        <w:rPr>
          <w:rFonts w:cs="Times New Roman" w:hint="eastAsia"/>
          <w:sz w:val="21"/>
          <w:szCs w:val="21"/>
        </w:rPr>
        <w:t>在资产负债表日应当对递延所得税资产的账面价值进行复核。如果未来期间很可能无法取得足够的应纳税所得额用以抵扣递延所得税资产的利益，则减记递延所得税资产的账面价值。除原确认时计入所有者权益的递延所得税资产部分，其减记金额也应计入所有者权益外</w:t>
      </w:r>
      <w:r w:rsidRPr="00F50B51">
        <w:rPr>
          <w:rFonts w:ascii="Times New Roman" w:hAnsi="Times New Roman" w:cs="Times New Roman"/>
          <w:sz w:val="21"/>
          <w:szCs w:val="21"/>
        </w:rPr>
        <w:t>,</w:t>
      </w:r>
      <w:r w:rsidRPr="00F50B51">
        <w:rPr>
          <w:rFonts w:cs="Times New Roman" w:hint="eastAsia"/>
          <w:sz w:val="21"/>
          <w:szCs w:val="21"/>
        </w:rPr>
        <w:t>其他的情况应减记当期的所得税费用。在很可能取得足够的应纳税所得额时，减记的递延</w:t>
      </w:r>
      <w:r w:rsidRPr="00F50B51">
        <w:rPr>
          <w:rFonts w:cs="Times New Roman" w:hint="eastAsia"/>
          <w:sz w:val="21"/>
          <w:szCs w:val="21"/>
        </w:rPr>
        <w:t>所得税资产账面价值可以恢复。</w:t>
      </w:r>
    </w:p>
    <w:p w:rsidR="0058782B" w:rsidRPr="00F50B51" w:rsidRDefault="00F80EE7">
      <w:pPr>
        <w:pStyle w:val="17"/>
        <w:rPr>
          <w:sz w:val="18"/>
          <w:szCs w:val="18"/>
        </w:rPr>
      </w:pPr>
      <w:r w:rsidRPr="00F50B51">
        <w:rPr>
          <w:rFonts w:hint="eastAsia"/>
          <w:sz w:val="18"/>
          <w:szCs w:val="18"/>
        </w:rPr>
        <w:t> </w:t>
      </w:r>
    </w:p>
    <w:p w:rsidR="0058782B" w:rsidRPr="00F50B51" w:rsidRDefault="00F80EE7">
      <w:pPr>
        <w:pStyle w:val="3"/>
        <w:spacing w:line="280" w:lineRule="exact"/>
        <w:jc w:val="left"/>
        <w:rPr>
          <w:rFonts w:ascii="宋体" w:hAnsi="宋体" w:cs="宋体"/>
          <w:b/>
          <w:bCs/>
        </w:rPr>
      </w:pPr>
      <w:bookmarkStart w:id="170" w:name="_Toc989058"/>
      <w:r w:rsidRPr="00F50B51">
        <w:rPr>
          <w:rFonts w:ascii="宋体" w:hAnsi="宋体" w:cs="宋体"/>
          <w:b/>
          <w:bCs/>
        </w:rPr>
        <w:t>42</w:t>
      </w:r>
      <w:r w:rsidRPr="00F50B51">
        <w:rPr>
          <w:rFonts w:ascii="宋体" w:hAnsi="宋体" w:cs="宋体"/>
          <w:b/>
          <w:bCs/>
        </w:rPr>
        <w:t>、租赁</w:t>
      </w:r>
      <w:bookmarkEnd w:id="170"/>
    </w:p>
    <w:p w:rsidR="0058782B" w:rsidRPr="00F50B51" w:rsidRDefault="00F80EE7">
      <w:pPr>
        <w:keepNext/>
        <w:keepLines/>
        <w:spacing w:before="300" w:after="300" w:line="280" w:lineRule="exact"/>
        <w:outlineLvl w:val="3"/>
        <w:rPr>
          <w:rFonts w:ascii="宋体" w:eastAsia="宋体" w:hAnsi="宋体" w:cs="宋体"/>
          <w:b/>
          <w:bCs/>
          <w:szCs w:val="21"/>
        </w:rPr>
      </w:pPr>
      <w:bookmarkStart w:id="171" w:name="_Toc989059"/>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经营租赁的会计处理方法</w:t>
      </w:r>
      <w:bookmarkEnd w:id="171"/>
    </w:p>
    <w:p w:rsidR="0058782B" w:rsidRPr="00F50B51" w:rsidRDefault="00F80EE7">
      <w:pPr>
        <w:pStyle w:val="a7"/>
        <w:spacing w:before="60" w:beforeAutospacing="0" w:after="6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①</w:t>
      </w:r>
      <w:r w:rsidRPr="00F50B51">
        <w:rPr>
          <w:rFonts w:cs="Times New Roman" w:hint="eastAsia"/>
          <w:sz w:val="21"/>
          <w:szCs w:val="21"/>
        </w:rPr>
        <w:t xml:space="preserve"> </w:t>
      </w:r>
      <w:r w:rsidRPr="00F50B51">
        <w:rPr>
          <w:rFonts w:cs="Times New Roman" w:hint="eastAsia"/>
          <w:sz w:val="21"/>
          <w:szCs w:val="21"/>
        </w:rPr>
        <w:t>公司租入资产所支付的租赁费，在不扣除免租期的整个租赁期内，按直线法进行分摊，计入当期费用。公司支付的与租赁交易相关的初始直接费用，计入当期费用。资产出租方承担了应由公司承担的与租赁相关的费用时，公司将该部分费用从租金总额中扣除，按扣除后的租金费用在租赁期内分摊，计入当期费用。</w:t>
      </w:r>
    </w:p>
    <w:p w:rsidR="0058782B" w:rsidRPr="00F50B51" w:rsidRDefault="00F80EE7">
      <w:pPr>
        <w:pStyle w:val="a7"/>
        <w:spacing w:before="60" w:beforeAutospacing="0" w:after="6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②</w:t>
      </w:r>
      <w:r w:rsidRPr="00F50B51">
        <w:rPr>
          <w:rFonts w:cs="Times New Roman" w:hint="eastAsia"/>
          <w:sz w:val="21"/>
          <w:szCs w:val="21"/>
        </w:rPr>
        <w:t xml:space="preserve"> </w:t>
      </w:r>
      <w:r w:rsidRPr="00F50B51">
        <w:rPr>
          <w:rFonts w:cs="Times New Roman" w:hint="eastAsia"/>
          <w:sz w:val="21"/>
          <w:szCs w:val="21"/>
        </w:rPr>
        <w:t>公司出租资产所收取的租赁费，在不扣除免租期的整个租赁期内，按直线法进行分摊，确认为租赁收入。公司支付的与租赁交易相关的初始直接费用，计入当期费用；如金额较大的，则予以资本化，在整个租赁期间内按照与租赁收入确认相同的基础分期计入当期收益。公司承担了应由承租方承担的与租赁相关的费用时，公司将该部分费用从租金收入总额中扣除，按扣除后的租金费用在租赁期内分配。</w:t>
      </w:r>
    </w:p>
    <w:p w:rsidR="0058782B" w:rsidRPr="00F50B51" w:rsidRDefault="00F80EE7">
      <w:pPr>
        <w:keepNext/>
        <w:keepLines/>
        <w:spacing w:before="300" w:after="300" w:line="280" w:lineRule="exact"/>
        <w:outlineLvl w:val="3"/>
        <w:rPr>
          <w:rFonts w:ascii="宋体" w:eastAsia="宋体" w:hAnsi="宋体" w:cs="宋体"/>
          <w:b/>
          <w:bCs/>
          <w:szCs w:val="21"/>
        </w:rPr>
      </w:pPr>
      <w:bookmarkStart w:id="172" w:name="_Toc989060"/>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融资租赁的会计处理方法</w:t>
      </w:r>
      <w:bookmarkEnd w:id="172"/>
    </w:p>
    <w:p w:rsidR="0058782B" w:rsidRPr="00F50B51" w:rsidRDefault="00F80EE7">
      <w:pPr>
        <w:pStyle w:val="a7"/>
        <w:spacing w:before="60" w:beforeAutospacing="0" w:after="6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①</w:t>
      </w:r>
      <w:r w:rsidRPr="00F50B51">
        <w:rPr>
          <w:rFonts w:cs="Times New Roman" w:hint="eastAsia"/>
          <w:sz w:val="21"/>
          <w:szCs w:val="21"/>
        </w:rPr>
        <w:t xml:space="preserve"> </w:t>
      </w:r>
      <w:r w:rsidRPr="00F50B51">
        <w:rPr>
          <w:rFonts w:cs="Times New Roman" w:hint="eastAsia"/>
          <w:sz w:val="21"/>
          <w:szCs w:val="21"/>
        </w:rPr>
        <w:t>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p>
    <w:p w:rsidR="0058782B" w:rsidRPr="00F50B51" w:rsidRDefault="00F80EE7">
      <w:pPr>
        <w:pStyle w:val="a7"/>
        <w:spacing w:before="240" w:beforeAutospacing="0" w:after="60" w:afterAutospacing="0" w:line="480" w:lineRule="auto"/>
        <w:ind w:firstLine="424"/>
        <w:jc w:val="both"/>
        <w:rPr>
          <w:rFonts w:ascii="Times New Roman" w:hAnsi="Times New Roman" w:cs="Times New Roman"/>
          <w:sz w:val="21"/>
          <w:szCs w:val="21"/>
        </w:rPr>
      </w:pPr>
      <w:r w:rsidRPr="00F50B51">
        <w:rPr>
          <w:rFonts w:cs="Times New Roman" w:hint="eastAsia"/>
          <w:sz w:val="21"/>
          <w:szCs w:val="21"/>
        </w:rPr>
        <w:t>②</w:t>
      </w:r>
      <w:r w:rsidRPr="00F50B51">
        <w:rPr>
          <w:rFonts w:cs="Times New Roman" w:hint="eastAsia"/>
          <w:sz w:val="21"/>
          <w:szCs w:val="21"/>
        </w:rPr>
        <w:t xml:space="preserve"> </w:t>
      </w:r>
      <w:r w:rsidRPr="00F50B51">
        <w:rPr>
          <w:rFonts w:cs="Times New Roman" w:hint="eastAsia"/>
          <w:sz w:val="21"/>
          <w:szCs w:val="21"/>
        </w:rPr>
        <w:t>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w:t>
      </w:r>
      <w:r w:rsidRPr="00F50B51">
        <w:rPr>
          <w:rFonts w:cs="Times New Roman" w:hint="eastAsia"/>
          <w:sz w:val="21"/>
          <w:szCs w:val="21"/>
        </w:rPr>
        <w:t>减少租赁期内确认的收益金额。</w:t>
      </w:r>
    </w:p>
    <w:p w:rsidR="0058782B" w:rsidRPr="00F50B51" w:rsidRDefault="00F80EE7">
      <w:pPr>
        <w:pStyle w:val="3"/>
        <w:spacing w:line="280" w:lineRule="exact"/>
        <w:jc w:val="left"/>
        <w:rPr>
          <w:rFonts w:ascii="宋体" w:hAnsi="宋体" w:cs="宋体"/>
          <w:b/>
          <w:bCs/>
        </w:rPr>
      </w:pPr>
      <w:bookmarkStart w:id="173" w:name="_Toc989061"/>
      <w:r w:rsidRPr="00F50B51">
        <w:rPr>
          <w:rFonts w:ascii="宋体" w:hAnsi="宋体" w:cs="宋体"/>
          <w:b/>
          <w:bCs/>
        </w:rPr>
        <w:t>43</w:t>
      </w:r>
      <w:r w:rsidRPr="00F50B51">
        <w:rPr>
          <w:rFonts w:ascii="宋体" w:hAnsi="宋体" w:cs="宋体"/>
          <w:b/>
          <w:bCs/>
        </w:rPr>
        <w:t>、其他重要的会计政策和会计估计</w:t>
      </w:r>
      <w:bookmarkEnd w:id="173"/>
    </w:p>
    <w:p w:rsidR="0058782B" w:rsidRPr="00F50B51" w:rsidRDefault="00F80EE7">
      <w:pPr>
        <w:pStyle w:val="a7"/>
        <w:spacing w:before="60" w:beforeAutospacing="0" w:after="60" w:afterAutospacing="0" w:line="480" w:lineRule="auto"/>
        <w:ind w:firstLine="424"/>
        <w:jc w:val="both"/>
        <w:rPr>
          <w:rFonts w:ascii="Times New Roman" w:hAnsi="Times New Roman" w:cs="Times New Roman"/>
          <w:sz w:val="21"/>
          <w:szCs w:val="21"/>
        </w:rPr>
      </w:pPr>
      <w:r w:rsidRPr="00F50B51">
        <w:rPr>
          <w:rFonts w:cs="Times New Roman" w:hint="eastAsia"/>
          <w:sz w:val="21"/>
          <w:szCs w:val="21"/>
        </w:rPr>
        <w:t>终止经营是满足下列条件之一的已被本公司处置或被本公司划归为持有待售的、在经营和编制财务报表时能够单独区分的组成部分：</w:t>
      </w:r>
    </w:p>
    <w:p w:rsidR="0058782B" w:rsidRPr="00F50B51" w:rsidRDefault="00F80EE7">
      <w:pPr>
        <w:pStyle w:val="a7"/>
        <w:spacing w:before="60" w:beforeAutospacing="0" w:after="60" w:afterAutospacing="0" w:line="480" w:lineRule="auto"/>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）该组成部分代表一项独立的主要业务或一个主要经营地区；</w:t>
      </w:r>
    </w:p>
    <w:p w:rsidR="0058782B" w:rsidRPr="00F50B51" w:rsidRDefault="00F80EE7">
      <w:pPr>
        <w:pStyle w:val="a7"/>
        <w:spacing w:before="60" w:beforeAutospacing="0" w:after="60" w:afterAutospacing="0" w:line="480" w:lineRule="auto"/>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）该组成部分是拟对一项独立的主要业务或一个主要经营地区进行处置计划的一部分；</w:t>
      </w:r>
    </w:p>
    <w:p w:rsidR="0058782B" w:rsidRPr="00F50B51" w:rsidRDefault="00F80EE7">
      <w:pPr>
        <w:pStyle w:val="a7"/>
        <w:spacing w:before="60" w:beforeAutospacing="0" w:after="60" w:afterAutospacing="0" w:line="480" w:lineRule="auto"/>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）该组成部分是仅仅为了再出售而取得的子公司。</w:t>
      </w:r>
    </w:p>
    <w:p w:rsidR="0058782B" w:rsidRPr="00F50B51" w:rsidRDefault="00F80EE7">
      <w:pPr>
        <w:pStyle w:val="3"/>
        <w:spacing w:line="280" w:lineRule="exact"/>
        <w:jc w:val="left"/>
        <w:rPr>
          <w:rFonts w:ascii="宋体" w:hAnsi="宋体" w:cs="宋体"/>
          <w:b/>
          <w:bCs/>
        </w:rPr>
      </w:pPr>
      <w:bookmarkStart w:id="174" w:name="_Toc989062"/>
      <w:r w:rsidRPr="00F50B51">
        <w:rPr>
          <w:rFonts w:ascii="宋体" w:hAnsi="宋体" w:cs="宋体"/>
          <w:b/>
          <w:bCs/>
        </w:rPr>
        <w:t>44</w:t>
      </w:r>
      <w:r w:rsidRPr="00F50B51">
        <w:rPr>
          <w:rFonts w:ascii="宋体" w:hAnsi="宋体" w:cs="宋体"/>
          <w:b/>
          <w:bCs/>
        </w:rPr>
        <w:t>、重要会计政策和会计估计变更</w:t>
      </w:r>
      <w:bookmarkEnd w:id="174"/>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175" w:name="_Toc989063"/>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重要会计政策变更</w:t>
      </w:r>
      <w:bookmarkEnd w:id="175"/>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176" w:name="_Toc989064"/>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重要会计估计变更</w:t>
      </w:r>
      <w:bookmarkEnd w:id="176"/>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3"/>
        <w:spacing w:line="280" w:lineRule="exact"/>
        <w:jc w:val="left"/>
        <w:rPr>
          <w:rFonts w:ascii="宋体" w:hAnsi="宋体" w:cs="宋体"/>
          <w:b/>
          <w:bCs/>
        </w:rPr>
      </w:pPr>
      <w:bookmarkStart w:id="177" w:name="_Toc989065"/>
      <w:r w:rsidRPr="00F50B51">
        <w:rPr>
          <w:rFonts w:ascii="宋体" w:hAnsi="宋体" w:cs="宋体"/>
          <w:b/>
          <w:bCs/>
        </w:rPr>
        <w:t>45</w:t>
      </w:r>
      <w:r w:rsidRPr="00F50B51">
        <w:rPr>
          <w:rFonts w:ascii="宋体" w:hAnsi="宋体" w:cs="宋体"/>
          <w:b/>
          <w:bCs/>
        </w:rPr>
        <w:t>、其他</w:t>
      </w:r>
      <w:bookmarkEnd w:id="177"/>
    </w:p>
    <w:p w:rsidR="0058782B" w:rsidRPr="00F50B51" w:rsidRDefault="0058782B">
      <w:pPr>
        <w:rPr>
          <w:sz w:val="18"/>
          <w:szCs w:val="18"/>
        </w:rPr>
      </w:pPr>
    </w:p>
    <w:p w:rsidR="0058782B" w:rsidRPr="00F50B51" w:rsidRDefault="00F80EE7">
      <w:pPr>
        <w:pStyle w:val="2"/>
        <w:spacing w:before="300" w:after="300" w:line="320" w:lineRule="exact"/>
        <w:rPr>
          <w:rFonts w:ascii="宋体" w:eastAsia="宋体" w:hAnsi="宋体" w:cs="宋体"/>
          <w:b/>
          <w:bCs/>
          <w:sz w:val="24"/>
          <w:szCs w:val="24"/>
        </w:rPr>
      </w:pPr>
      <w:bookmarkStart w:id="178" w:name="_Toc989066"/>
      <w:r w:rsidRPr="00F50B51">
        <w:rPr>
          <w:rFonts w:ascii="宋体" w:eastAsia="宋体" w:hAnsi="宋体" w:cs="宋体"/>
          <w:b/>
          <w:bCs/>
          <w:sz w:val="24"/>
          <w:szCs w:val="24"/>
        </w:rPr>
        <w:t>六、税项</w:t>
      </w:r>
      <w:bookmarkEnd w:id="178"/>
    </w:p>
    <w:p w:rsidR="0058782B" w:rsidRPr="00F50B51" w:rsidRDefault="00F80EE7">
      <w:pPr>
        <w:pStyle w:val="3"/>
        <w:spacing w:line="280" w:lineRule="exact"/>
        <w:jc w:val="left"/>
        <w:rPr>
          <w:rFonts w:ascii="宋体" w:hAnsi="宋体" w:cs="宋体"/>
          <w:b/>
          <w:bCs/>
        </w:rPr>
      </w:pPr>
      <w:bookmarkStart w:id="179" w:name="_Toc989067"/>
      <w:r w:rsidRPr="00F50B51">
        <w:rPr>
          <w:rFonts w:ascii="宋体" w:hAnsi="宋体" w:cs="宋体"/>
          <w:b/>
          <w:bCs/>
        </w:rPr>
        <w:t>1</w:t>
      </w:r>
      <w:r w:rsidRPr="00F50B51">
        <w:rPr>
          <w:rFonts w:ascii="宋体" w:hAnsi="宋体" w:cs="宋体"/>
          <w:b/>
          <w:bCs/>
        </w:rPr>
        <w:t>、主要税种及税率</w:t>
      </w:r>
      <w:bookmarkEnd w:id="179"/>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税种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计税依据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税率</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增值税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销售收入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w:t>
            </w:r>
            <w:r w:rsidRPr="00F50B51">
              <w:rPr>
                <w:rFonts w:ascii="宋体" w:eastAsia="宋体" w:hAnsi="宋体" w:cs="宋体"/>
                <w:sz w:val="18"/>
                <w:szCs w:val="18"/>
              </w:rPr>
              <w:t>13%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免抵税额和应交流转税额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7%</w:t>
            </w:r>
            <w:r w:rsidRPr="00F50B51">
              <w:rPr>
                <w:rFonts w:ascii="宋体" w:eastAsia="宋体" w:hAnsi="宋体" w:cs="宋体"/>
                <w:sz w:val="18"/>
                <w:szCs w:val="18"/>
              </w:rPr>
              <w:t>、</w:t>
            </w:r>
            <w:r w:rsidRPr="00F50B51">
              <w:rPr>
                <w:rFonts w:ascii="宋体" w:eastAsia="宋体" w:hAnsi="宋体" w:cs="宋体"/>
                <w:sz w:val="18"/>
                <w:szCs w:val="18"/>
              </w:rPr>
              <w:t>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企业所得税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应纳税所得额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15%</w:t>
            </w:r>
            <w:r w:rsidRPr="00F50B51">
              <w:rPr>
                <w:rFonts w:ascii="宋体" w:eastAsia="宋体" w:hAnsi="宋体" w:cs="宋体"/>
                <w:sz w:val="18"/>
                <w:szCs w:val="18"/>
              </w:rPr>
              <w:t>、</w:t>
            </w:r>
            <w:r w:rsidRPr="00F50B51">
              <w:rPr>
                <w:rFonts w:ascii="宋体" w:eastAsia="宋体" w:hAnsi="宋体" w:cs="宋体"/>
                <w:sz w:val="18"/>
                <w:szCs w:val="18"/>
              </w:rPr>
              <w:t>25%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免抵税额和应交流转税额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地方教育附加</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免抵税额和应交流转税额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存在不同企业所得税税率纳税主体的，披露情况说明</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纳税主体名称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所得税税率</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广东翔鹭钨业股份有限公司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15%</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广东翔鹭精密制造有限公司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25%</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东莞市翔鹭精密工具有限公司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25%</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15%</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大余隆鑫泰金属材料有限公司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25%</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大余隆鑫泰矿业有限公司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25%</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大余县新城海德材料有限公司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25%</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江西翔鹭精密制造有限公司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25%</w:t>
            </w:r>
          </w:p>
        </w:tc>
      </w:tr>
    </w:tbl>
    <w:p w:rsidR="0058782B" w:rsidRPr="00F50B51" w:rsidRDefault="00F80EE7">
      <w:pPr>
        <w:pStyle w:val="3"/>
        <w:spacing w:line="280" w:lineRule="exact"/>
        <w:jc w:val="left"/>
        <w:rPr>
          <w:rFonts w:ascii="宋体" w:hAnsi="宋体" w:cs="宋体"/>
          <w:b/>
          <w:bCs/>
        </w:rPr>
      </w:pPr>
      <w:bookmarkStart w:id="180" w:name="_Toc989068"/>
      <w:r w:rsidRPr="00F50B51">
        <w:rPr>
          <w:rFonts w:ascii="宋体" w:hAnsi="宋体" w:cs="宋体"/>
          <w:b/>
          <w:bCs/>
        </w:rPr>
        <w:t>2</w:t>
      </w:r>
      <w:r w:rsidRPr="00F50B51">
        <w:rPr>
          <w:rFonts w:ascii="宋体" w:hAnsi="宋体" w:cs="宋体"/>
          <w:b/>
          <w:bCs/>
        </w:rPr>
        <w:t>、税收优惠</w:t>
      </w:r>
      <w:bookmarkEnd w:id="180"/>
    </w:p>
    <w:p w:rsidR="0058782B" w:rsidRPr="00F50B51" w:rsidRDefault="00F80EE7">
      <w:pPr>
        <w:pStyle w:val="a7"/>
        <w:spacing w:before="60" w:beforeAutospacing="0" w:after="6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企业所得税：</w:t>
      </w:r>
    </w:p>
    <w:p w:rsidR="0058782B" w:rsidRPr="00F50B51" w:rsidRDefault="00F80EE7">
      <w:pPr>
        <w:pStyle w:val="a7"/>
        <w:spacing w:before="60" w:beforeAutospacing="0" w:after="6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）根据广东省科学技术厅、广东省财政厅、国家税务总局广东省税务局于</w:t>
      </w:r>
      <w:r w:rsidRPr="00F50B51">
        <w:rPr>
          <w:rFonts w:ascii="Times New Roman" w:hAnsi="Times New Roman" w:cs="Times New Roman"/>
          <w:sz w:val="21"/>
          <w:szCs w:val="21"/>
        </w:rPr>
        <w:t>2021</w:t>
      </w:r>
      <w:r w:rsidRPr="00F50B51">
        <w:rPr>
          <w:rFonts w:cs="Times New Roman" w:hint="eastAsia"/>
          <w:sz w:val="21"/>
          <w:szCs w:val="21"/>
        </w:rPr>
        <w:t>年</w:t>
      </w:r>
      <w:r w:rsidRPr="00F50B51">
        <w:rPr>
          <w:rFonts w:ascii="Times New Roman" w:hAnsi="Times New Roman" w:cs="Times New Roman"/>
          <w:sz w:val="21"/>
          <w:szCs w:val="21"/>
        </w:rPr>
        <w:t>4</w:t>
      </w:r>
      <w:r w:rsidRPr="00F50B51">
        <w:rPr>
          <w:rFonts w:cs="Times New Roman" w:hint="eastAsia"/>
          <w:sz w:val="21"/>
          <w:szCs w:val="21"/>
        </w:rPr>
        <w:t>月</w:t>
      </w:r>
      <w:r w:rsidRPr="00F50B51">
        <w:rPr>
          <w:rFonts w:ascii="Times New Roman" w:hAnsi="Times New Roman" w:cs="Times New Roman"/>
          <w:sz w:val="21"/>
          <w:szCs w:val="21"/>
        </w:rPr>
        <w:t>8</w:t>
      </w:r>
      <w:r w:rsidRPr="00F50B51">
        <w:rPr>
          <w:rFonts w:cs="Times New Roman" w:hint="eastAsia"/>
          <w:sz w:val="21"/>
          <w:szCs w:val="21"/>
        </w:rPr>
        <w:t>日下发的《关于公布广东省</w:t>
      </w:r>
      <w:r w:rsidRPr="00F50B51">
        <w:rPr>
          <w:rFonts w:ascii="Times New Roman" w:hAnsi="Times New Roman" w:cs="Times New Roman"/>
          <w:sz w:val="21"/>
          <w:szCs w:val="21"/>
        </w:rPr>
        <w:t>2020</w:t>
      </w:r>
      <w:r w:rsidRPr="00F50B51">
        <w:rPr>
          <w:rFonts w:cs="Times New Roman" w:hint="eastAsia"/>
          <w:sz w:val="21"/>
          <w:szCs w:val="21"/>
        </w:rPr>
        <w:t>年高新技术企业名单的通知》（粤科函高字〔</w:t>
      </w:r>
      <w:r w:rsidRPr="00F50B51">
        <w:rPr>
          <w:rFonts w:ascii="Times New Roman" w:hAnsi="Times New Roman" w:cs="Times New Roman"/>
          <w:sz w:val="21"/>
          <w:szCs w:val="21"/>
        </w:rPr>
        <w:t>2021</w:t>
      </w:r>
      <w:r w:rsidRPr="00F50B51">
        <w:rPr>
          <w:rFonts w:cs="Times New Roman" w:hint="eastAsia"/>
          <w:sz w:val="21"/>
          <w:szCs w:val="21"/>
        </w:rPr>
        <w:t>〕</w:t>
      </w:r>
      <w:r w:rsidRPr="00F50B51">
        <w:rPr>
          <w:rFonts w:ascii="Times New Roman" w:hAnsi="Times New Roman" w:cs="Times New Roman"/>
          <w:sz w:val="21"/>
          <w:szCs w:val="21"/>
        </w:rPr>
        <w:t>317</w:t>
      </w:r>
      <w:r w:rsidRPr="00F50B51">
        <w:rPr>
          <w:rFonts w:cs="Times New Roman" w:hint="eastAsia"/>
          <w:sz w:val="21"/>
          <w:szCs w:val="21"/>
        </w:rPr>
        <w:t>号），公司被认定为广东省</w:t>
      </w:r>
      <w:r w:rsidRPr="00F50B51">
        <w:rPr>
          <w:rFonts w:ascii="Times New Roman" w:hAnsi="Times New Roman" w:cs="Times New Roman"/>
          <w:sz w:val="21"/>
          <w:szCs w:val="21"/>
        </w:rPr>
        <w:t>2020</w:t>
      </w:r>
      <w:r w:rsidRPr="00F50B51">
        <w:rPr>
          <w:rFonts w:cs="Times New Roman" w:hint="eastAsia"/>
          <w:sz w:val="21"/>
          <w:szCs w:val="21"/>
        </w:rPr>
        <w:t>年高新技术企业，并获发《高新技术企业证书》（证书编号：</w:t>
      </w:r>
      <w:r w:rsidRPr="00F50B51">
        <w:rPr>
          <w:rFonts w:ascii="Times New Roman" w:hAnsi="Times New Roman" w:cs="Times New Roman"/>
          <w:sz w:val="21"/>
          <w:szCs w:val="21"/>
        </w:rPr>
        <w:t>GR202044004426</w:t>
      </w:r>
      <w:r w:rsidRPr="00F50B51">
        <w:rPr>
          <w:rFonts w:cs="Times New Roman" w:hint="eastAsia"/>
          <w:sz w:val="21"/>
          <w:szCs w:val="21"/>
        </w:rPr>
        <w:t>），享受高新技术企业所得税优惠政策期限为</w:t>
      </w:r>
      <w:r w:rsidRPr="00F50B51">
        <w:rPr>
          <w:rFonts w:ascii="Times New Roman" w:hAnsi="Times New Roman" w:cs="Times New Roman"/>
          <w:sz w:val="21"/>
          <w:szCs w:val="21"/>
        </w:rPr>
        <w:t>2020</w:t>
      </w:r>
      <w:r w:rsidRPr="00F50B51">
        <w:rPr>
          <w:rFonts w:cs="Times New Roman" w:hint="eastAsia"/>
          <w:sz w:val="21"/>
          <w:szCs w:val="21"/>
        </w:rPr>
        <w:t>年</w:t>
      </w:r>
      <w:r w:rsidRPr="00F50B51">
        <w:rPr>
          <w:rFonts w:ascii="Times New Roman" w:hAnsi="Times New Roman" w:cs="Times New Roman"/>
          <w:sz w:val="21"/>
          <w:szCs w:val="21"/>
        </w:rPr>
        <w:t>1</w:t>
      </w:r>
      <w:r w:rsidRPr="00F50B51">
        <w:rPr>
          <w:rFonts w:cs="Times New Roman" w:hint="eastAsia"/>
          <w:sz w:val="21"/>
          <w:szCs w:val="21"/>
        </w:rPr>
        <w:t>月</w:t>
      </w:r>
      <w:r w:rsidRPr="00F50B51">
        <w:rPr>
          <w:rFonts w:ascii="Times New Roman" w:hAnsi="Times New Roman" w:cs="Times New Roman"/>
          <w:sz w:val="21"/>
          <w:szCs w:val="21"/>
        </w:rPr>
        <w:t>1</w:t>
      </w:r>
      <w:r w:rsidRPr="00F50B51">
        <w:rPr>
          <w:rFonts w:cs="Times New Roman" w:hint="eastAsia"/>
          <w:sz w:val="21"/>
          <w:szCs w:val="21"/>
        </w:rPr>
        <w:t>日至</w:t>
      </w:r>
      <w:r w:rsidRPr="00F50B51">
        <w:rPr>
          <w:rFonts w:ascii="Times New Roman" w:hAnsi="Times New Roman" w:cs="Times New Roman"/>
          <w:sz w:val="21"/>
          <w:szCs w:val="21"/>
        </w:rPr>
        <w:t>2022</w:t>
      </w:r>
      <w:r w:rsidRPr="00F50B51">
        <w:rPr>
          <w:rFonts w:cs="Times New Roman" w:hint="eastAsia"/>
          <w:sz w:val="21"/>
          <w:szCs w:val="21"/>
        </w:rPr>
        <w:t>年</w:t>
      </w:r>
      <w:r w:rsidRPr="00F50B51">
        <w:rPr>
          <w:rFonts w:ascii="Times New Roman" w:hAnsi="Times New Roman" w:cs="Times New Roman"/>
          <w:sz w:val="21"/>
          <w:szCs w:val="21"/>
        </w:rPr>
        <w:t>12</w:t>
      </w:r>
      <w:r w:rsidRPr="00F50B51">
        <w:rPr>
          <w:rFonts w:cs="Times New Roman" w:hint="eastAsia"/>
          <w:sz w:val="21"/>
          <w:szCs w:val="21"/>
        </w:rPr>
        <w:t>月</w:t>
      </w:r>
      <w:r w:rsidRPr="00F50B51">
        <w:rPr>
          <w:rFonts w:ascii="Times New Roman" w:hAnsi="Times New Roman" w:cs="Times New Roman"/>
          <w:sz w:val="21"/>
          <w:szCs w:val="21"/>
        </w:rPr>
        <w:t>31</w:t>
      </w:r>
      <w:r w:rsidRPr="00F50B51">
        <w:rPr>
          <w:rFonts w:cs="Times New Roman" w:hint="eastAsia"/>
          <w:sz w:val="21"/>
          <w:szCs w:val="21"/>
        </w:rPr>
        <w:t>日。公司</w:t>
      </w:r>
      <w:r w:rsidRPr="00F50B51">
        <w:rPr>
          <w:rFonts w:ascii="Times New Roman" w:hAnsi="Times New Roman" w:cs="Times New Roman"/>
          <w:sz w:val="21"/>
          <w:szCs w:val="21"/>
        </w:rPr>
        <w:t>2022</w:t>
      </w:r>
      <w:r w:rsidRPr="00F50B51">
        <w:rPr>
          <w:rFonts w:cs="Times New Roman" w:hint="eastAsia"/>
          <w:sz w:val="21"/>
          <w:szCs w:val="21"/>
        </w:rPr>
        <w:t>年</w:t>
      </w:r>
      <w:r w:rsidRPr="00F50B51">
        <w:rPr>
          <w:rFonts w:ascii="Times New Roman" w:hAnsi="Times New Roman" w:cs="Times New Roman"/>
          <w:sz w:val="21"/>
          <w:szCs w:val="21"/>
        </w:rPr>
        <w:t>1-6</w:t>
      </w:r>
      <w:r w:rsidRPr="00F50B51">
        <w:rPr>
          <w:rFonts w:cs="Times New Roman" w:hint="eastAsia"/>
          <w:sz w:val="21"/>
          <w:szCs w:val="21"/>
        </w:rPr>
        <w:t>月适用高新技术企业所得税</w:t>
      </w:r>
      <w:r w:rsidRPr="00F50B51">
        <w:rPr>
          <w:rFonts w:ascii="Times New Roman" w:hAnsi="Times New Roman" w:cs="Times New Roman"/>
          <w:sz w:val="21"/>
          <w:szCs w:val="21"/>
        </w:rPr>
        <w:t>15%</w:t>
      </w:r>
      <w:r w:rsidRPr="00F50B51">
        <w:rPr>
          <w:rFonts w:cs="Times New Roman" w:hint="eastAsia"/>
          <w:sz w:val="21"/>
          <w:szCs w:val="21"/>
        </w:rPr>
        <w:t>优惠税率。</w:t>
      </w:r>
    </w:p>
    <w:p w:rsidR="0058782B" w:rsidRPr="00F50B51" w:rsidRDefault="00F80EE7">
      <w:pPr>
        <w:pStyle w:val="a7"/>
        <w:spacing w:before="60" w:beforeAutospacing="0" w:after="6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）根据江西省科学技术厅、江西省财政厅、国家税务总局江西省税务局于</w:t>
      </w:r>
      <w:r w:rsidRPr="00F50B51">
        <w:rPr>
          <w:rFonts w:ascii="Times New Roman" w:hAnsi="Times New Roman" w:cs="Times New Roman"/>
          <w:sz w:val="21"/>
          <w:szCs w:val="21"/>
        </w:rPr>
        <w:t>2019</w:t>
      </w:r>
      <w:r w:rsidRPr="00F50B51">
        <w:rPr>
          <w:rFonts w:cs="Times New Roman" w:hint="eastAsia"/>
          <w:sz w:val="21"/>
          <w:szCs w:val="21"/>
        </w:rPr>
        <w:t>年</w:t>
      </w:r>
      <w:r w:rsidRPr="00F50B51">
        <w:rPr>
          <w:rFonts w:ascii="Times New Roman" w:hAnsi="Times New Roman" w:cs="Times New Roman"/>
          <w:sz w:val="21"/>
          <w:szCs w:val="21"/>
        </w:rPr>
        <w:t>12</w:t>
      </w:r>
      <w:r w:rsidRPr="00F50B51">
        <w:rPr>
          <w:rFonts w:cs="Times New Roman" w:hint="eastAsia"/>
          <w:sz w:val="21"/>
          <w:szCs w:val="21"/>
        </w:rPr>
        <w:t>月</w:t>
      </w:r>
      <w:r w:rsidRPr="00F50B51">
        <w:rPr>
          <w:rFonts w:ascii="Times New Roman" w:hAnsi="Times New Roman" w:cs="Times New Roman"/>
          <w:sz w:val="21"/>
          <w:szCs w:val="21"/>
        </w:rPr>
        <w:t>2</w:t>
      </w:r>
      <w:r w:rsidRPr="00F50B51">
        <w:rPr>
          <w:rFonts w:cs="Times New Roman" w:hint="eastAsia"/>
          <w:sz w:val="21"/>
          <w:szCs w:val="21"/>
        </w:rPr>
        <w:t>日下发的《关于公布江西省</w:t>
      </w:r>
      <w:r w:rsidRPr="00F50B51">
        <w:rPr>
          <w:rFonts w:ascii="Times New Roman" w:hAnsi="Times New Roman" w:cs="Times New Roman"/>
          <w:sz w:val="21"/>
          <w:szCs w:val="21"/>
        </w:rPr>
        <w:t>2019</w:t>
      </w:r>
      <w:r w:rsidRPr="00F50B51">
        <w:rPr>
          <w:rFonts w:cs="Times New Roman" w:hint="eastAsia"/>
          <w:sz w:val="21"/>
          <w:szCs w:val="21"/>
        </w:rPr>
        <w:t>年第一批高新技术企业名单的通知》（赣高企认发〔</w:t>
      </w:r>
      <w:r w:rsidRPr="00F50B51">
        <w:rPr>
          <w:rFonts w:ascii="Times New Roman" w:hAnsi="Times New Roman" w:cs="Times New Roman"/>
          <w:sz w:val="21"/>
          <w:szCs w:val="21"/>
        </w:rPr>
        <w:t>2019</w:t>
      </w: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号），子公司江西翔鹭钨业有限公司被认定为江西省</w:t>
      </w:r>
      <w:r w:rsidRPr="00F50B51">
        <w:rPr>
          <w:rFonts w:ascii="Times New Roman" w:hAnsi="Times New Roman" w:cs="Times New Roman"/>
          <w:sz w:val="21"/>
          <w:szCs w:val="21"/>
        </w:rPr>
        <w:t>2019</w:t>
      </w:r>
      <w:r w:rsidRPr="00F50B51">
        <w:rPr>
          <w:rFonts w:cs="Times New Roman" w:hint="eastAsia"/>
          <w:sz w:val="21"/>
          <w:szCs w:val="21"/>
        </w:rPr>
        <w:t>年高新技术企业，并获发《高新技术企业证书》（证书编号：</w:t>
      </w:r>
      <w:r w:rsidRPr="00F50B51">
        <w:rPr>
          <w:rFonts w:ascii="Times New Roman" w:hAnsi="Times New Roman" w:cs="Times New Roman"/>
          <w:sz w:val="21"/>
          <w:szCs w:val="21"/>
        </w:rPr>
        <w:t>GR201936001082</w:t>
      </w:r>
      <w:r w:rsidRPr="00F50B51">
        <w:rPr>
          <w:rFonts w:cs="Times New Roman" w:hint="eastAsia"/>
          <w:sz w:val="21"/>
          <w:szCs w:val="21"/>
        </w:rPr>
        <w:t>），享受高新技术企业所得税优惠政策期限为</w:t>
      </w:r>
      <w:r w:rsidRPr="00F50B51">
        <w:rPr>
          <w:rFonts w:ascii="Times New Roman" w:hAnsi="Times New Roman" w:cs="Times New Roman"/>
          <w:sz w:val="21"/>
          <w:szCs w:val="21"/>
        </w:rPr>
        <w:t>2019</w:t>
      </w:r>
      <w:r w:rsidRPr="00F50B51">
        <w:rPr>
          <w:rFonts w:cs="Times New Roman" w:hint="eastAsia"/>
          <w:sz w:val="21"/>
          <w:szCs w:val="21"/>
        </w:rPr>
        <w:t>年</w:t>
      </w:r>
      <w:r w:rsidRPr="00F50B51">
        <w:rPr>
          <w:rFonts w:ascii="Times New Roman" w:hAnsi="Times New Roman" w:cs="Times New Roman"/>
          <w:sz w:val="21"/>
          <w:szCs w:val="21"/>
        </w:rPr>
        <w:t>9</w:t>
      </w:r>
      <w:r w:rsidRPr="00F50B51">
        <w:rPr>
          <w:rFonts w:cs="Times New Roman" w:hint="eastAsia"/>
          <w:sz w:val="21"/>
          <w:szCs w:val="21"/>
        </w:rPr>
        <w:t>月</w:t>
      </w:r>
      <w:r w:rsidRPr="00F50B51">
        <w:rPr>
          <w:rFonts w:ascii="Times New Roman" w:hAnsi="Times New Roman" w:cs="Times New Roman"/>
          <w:sz w:val="21"/>
          <w:szCs w:val="21"/>
        </w:rPr>
        <w:t>16</w:t>
      </w:r>
      <w:r w:rsidRPr="00F50B51">
        <w:rPr>
          <w:rFonts w:cs="Times New Roman" w:hint="eastAsia"/>
          <w:sz w:val="21"/>
          <w:szCs w:val="21"/>
        </w:rPr>
        <w:t>日至</w:t>
      </w:r>
      <w:r w:rsidRPr="00F50B51">
        <w:rPr>
          <w:rFonts w:ascii="Times New Roman" w:hAnsi="Times New Roman" w:cs="Times New Roman"/>
          <w:sz w:val="21"/>
          <w:szCs w:val="21"/>
        </w:rPr>
        <w:t>2022</w:t>
      </w:r>
      <w:r w:rsidRPr="00F50B51">
        <w:rPr>
          <w:rFonts w:cs="Times New Roman" w:hint="eastAsia"/>
          <w:sz w:val="21"/>
          <w:szCs w:val="21"/>
        </w:rPr>
        <w:t>年</w:t>
      </w:r>
      <w:r w:rsidRPr="00F50B51">
        <w:rPr>
          <w:rFonts w:ascii="Times New Roman" w:hAnsi="Times New Roman" w:cs="Times New Roman"/>
          <w:sz w:val="21"/>
          <w:szCs w:val="21"/>
        </w:rPr>
        <w:t>9</w:t>
      </w:r>
      <w:r w:rsidRPr="00F50B51">
        <w:rPr>
          <w:rFonts w:cs="Times New Roman" w:hint="eastAsia"/>
          <w:sz w:val="21"/>
          <w:szCs w:val="21"/>
        </w:rPr>
        <w:t>月</w:t>
      </w:r>
      <w:r w:rsidRPr="00F50B51">
        <w:rPr>
          <w:rFonts w:ascii="Times New Roman" w:hAnsi="Times New Roman" w:cs="Times New Roman"/>
          <w:sz w:val="21"/>
          <w:szCs w:val="21"/>
        </w:rPr>
        <w:t>15</w:t>
      </w:r>
      <w:r w:rsidRPr="00F50B51">
        <w:rPr>
          <w:rFonts w:cs="Times New Roman" w:hint="eastAsia"/>
          <w:sz w:val="21"/>
          <w:szCs w:val="21"/>
        </w:rPr>
        <w:t>日。子公司江西翔鹭钨业有限</w:t>
      </w:r>
      <w:r w:rsidRPr="00F50B51">
        <w:rPr>
          <w:rFonts w:cs="Times New Roman" w:hint="eastAsia"/>
          <w:sz w:val="21"/>
          <w:szCs w:val="21"/>
        </w:rPr>
        <w:t>公司</w:t>
      </w:r>
      <w:r w:rsidRPr="00F50B51">
        <w:rPr>
          <w:rFonts w:ascii="Times New Roman" w:hAnsi="Times New Roman" w:cs="Times New Roman"/>
          <w:sz w:val="21"/>
          <w:szCs w:val="21"/>
        </w:rPr>
        <w:t>2022</w:t>
      </w:r>
      <w:r w:rsidRPr="00F50B51">
        <w:rPr>
          <w:rFonts w:cs="Times New Roman" w:hint="eastAsia"/>
          <w:sz w:val="21"/>
          <w:szCs w:val="21"/>
        </w:rPr>
        <w:t>年</w:t>
      </w:r>
      <w:r w:rsidRPr="00F50B51">
        <w:rPr>
          <w:rFonts w:ascii="Times New Roman" w:hAnsi="Times New Roman" w:cs="Times New Roman"/>
          <w:sz w:val="21"/>
          <w:szCs w:val="21"/>
        </w:rPr>
        <w:t>1-6</w:t>
      </w:r>
      <w:r w:rsidRPr="00F50B51">
        <w:rPr>
          <w:rFonts w:cs="Times New Roman" w:hint="eastAsia"/>
          <w:sz w:val="21"/>
          <w:szCs w:val="21"/>
        </w:rPr>
        <w:t>月适用高新技术企业所得税</w:t>
      </w:r>
      <w:r w:rsidRPr="00F50B51">
        <w:rPr>
          <w:rFonts w:ascii="Times New Roman" w:hAnsi="Times New Roman" w:cs="Times New Roman"/>
          <w:sz w:val="21"/>
          <w:szCs w:val="21"/>
        </w:rPr>
        <w:t>15%</w:t>
      </w:r>
      <w:r w:rsidRPr="00F50B51">
        <w:rPr>
          <w:rFonts w:cs="Times New Roman" w:hint="eastAsia"/>
          <w:sz w:val="21"/>
          <w:szCs w:val="21"/>
        </w:rPr>
        <w:t>优惠税率。</w:t>
      </w:r>
    </w:p>
    <w:p w:rsidR="0058782B" w:rsidRPr="00F50B51" w:rsidRDefault="00F80EE7">
      <w:pPr>
        <w:pStyle w:val="a7"/>
        <w:spacing w:before="60" w:beforeAutospacing="0" w:after="6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增值税：根据财政部、国家税务总局</w:t>
      </w:r>
      <w:r w:rsidRPr="00F50B51">
        <w:rPr>
          <w:rFonts w:ascii="Times New Roman" w:hAnsi="Times New Roman" w:cs="Times New Roman"/>
          <w:sz w:val="21"/>
          <w:szCs w:val="21"/>
        </w:rPr>
        <w:t>2012</w:t>
      </w:r>
      <w:r w:rsidRPr="00F50B51">
        <w:rPr>
          <w:rFonts w:cs="Times New Roman" w:hint="eastAsia"/>
          <w:sz w:val="21"/>
          <w:szCs w:val="21"/>
        </w:rPr>
        <w:t>年</w:t>
      </w:r>
      <w:r w:rsidRPr="00F50B51">
        <w:rPr>
          <w:rFonts w:ascii="Times New Roman" w:hAnsi="Times New Roman" w:cs="Times New Roman"/>
          <w:sz w:val="21"/>
          <w:szCs w:val="21"/>
        </w:rPr>
        <w:t>5</w:t>
      </w:r>
      <w:r w:rsidRPr="00F50B51">
        <w:rPr>
          <w:rFonts w:cs="Times New Roman" w:hint="eastAsia"/>
          <w:sz w:val="21"/>
          <w:szCs w:val="21"/>
        </w:rPr>
        <w:t>月</w:t>
      </w:r>
      <w:r w:rsidRPr="00F50B51">
        <w:rPr>
          <w:rFonts w:ascii="Times New Roman" w:hAnsi="Times New Roman" w:cs="Times New Roman"/>
          <w:sz w:val="21"/>
          <w:szCs w:val="21"/>
        </w:rPr>
        <w:t>25</w:t>
      </w:r>
      <w:r w:rsidRPr="00F50B51">
        <w:rPr>
          <w:rFonts w:cs="Times New Roman" w:hint="eastAsia"/>
          <w:sz w:val="21"/>
          <w:szCs w:val="21"/>
        </w:rPr>
        <w:t>日发布的《财政部、国家税务总局关于出口货物劳务增值税和消费税政策的通知》（财税</w:t>
      </w:r>
      <w:r w:rsidRPr="00F50B51">
        <w:rPr>
          <w:rFonts w:ascii="Times New Roman" w:hAnsi="Times New Roman" w:cs="Times New Roman"/>
          <w:sz w:val="21"/>
          <w:szCs w:val="21"/>
        </w:rPr>
        <w:t>[2012]39</w:t>
      </w:r>
      <w:r w:rsidRPr="00F50B51">
        <w:rPr>
          <w:rFonts w:cs="Times New Roman" w:hint="eastAsia"/>
          <w:sz w:val="21"/>
          <w:szCs w:val="21"/>
        </w:rPr>
        <w:t>号），公司出口产品享受增值税“免、抵、退”优惠政策。</w:t>
      </w:r>
    </w:p>
    <w:p w:rsidR="0058782B" w:rsidRPr="00F50B51" w:rsidRDefault="00F80EE7">
      <w:pPr>
        <w:pStyle w:val="3"/>
        <w:spacing w:line="280" w:lineRule="exact"/>
        <w:jc w:val="left"/>
        <w:rPr>
          <w:rFonts w:ascii="宋体" w:hAnsi="宋体" w:cs="宋体"/>
          <w:b/>
          <w:bCs/>
        </w:rPr>
      </w:pPr>
      <w:bookmarkStart w:id="181" w:name="_Toc989069"/>
      <w:r w:rsidRPr="00F50B51">
        <w:rPr>
          <w:rFonts w:ascii="宋体" w:hAnsi="宋体" w:cs="宋体"/>
          <w:b/>
          <w:bCs/>
        </w:rPr>
        <w:t>3</w:t>
      </w:r>
      <w:r w:rsidRPr="00F50B51">
        <w:rPr>
          <w:rFonts w:ascii="宋体" w:hAnsi="宋体" w:cs="宋体"/>
          <w:b/>
          <w:bCs/>
        </w:rPr>
        <w:t>、其他</w:t>
      </w:r>
      <w:bookmarkEnd w:id="181"/>
    </w:p>
    <w:p w:rsidR="0058782B" w:rsidRPr="00F50B51" w:rsidRDefault="0058782B">
      <w:pPr>
        <w:rPr>
          <w:sz w:val="18"/>
          <w:szCs w:val="18"/>
        </w:rPr>
      </w:pPr>
    </w:p>
    <w:p w:rsidR="0058782B" w:rsidRPr="00F50B51" w:rsidRDefault="00F80EE7">
      <w:pPr>
        <w:pStyle w:val="2"/>
        <w:spacing w:before="300" w:after="300" w:line="320" w:lineRule="exact"/>
        <w:rPr>
          <w:rFonts w:ascii="宋体" w:eastAsia="宋体" w:hAnsi="宋体" w:cs="宋体"/>
          <w:b/>
          <w:bCs/>
          <w:sz w:val="24"/>
          <w:szCs w:val="24"/>
        </w:rPr>
      </w:pPr>
      <w:bookmarkStart w:id="182" w:name="_Toc989070"/>
      <w:r w:rsidRPr="00F50B51">
        <w:rPr>
          <w:rFonts w:ascii="宋体" w:eastAsia="宋体" w:hAnsi="宋体" w:cs="宋体"/>
          <w:b/>
          <w:bCs/>
          <w:sz w:val="24"/>
          <w:szCs w:val="24"/>
        </w:rPr>
        <w:t>七、合并财务报表项目注释</w:t>
      </w:r>
      <w:bookmarkEnd w:id="182"/>
    </w:p>
    <w:p w:rsidR="0058782B" w:rsidRPr="00F50B51" w:rsidRDefault="00F80EE7">
      <w:pPr>
        <w:pStyle w:val="3"/>
        <w:spacing w:line="280" w:lineRule="exact"/>
        <w:jc w:val="left"/>
        <w:rPr>
          <w:rFonts w:ascii="宋体" w:hAnsi="宋体" w:cs="宋体"/>
          <w:b/>
          <w:bCs/>
        </w:rPr>
      </w:pPr>
      <w:bookmarkStart w:id="183" w:name="_Toc989071"/>
      <w:r w:rsidRPr="00F50B51">
        <w:rPr>
          <w:rFonts w:ascii="宋体" w:hAnsi="宋体" w:cs="宋体"/>
          <w:b/>
          <w:bCs/>
        </w:rPr>
        <w:t>1</w:t>
      </w:r>
      <w:r w:rsidRPr="00F50B51">
        <w:rPr>
          <w:rFonts w:ascii="宋体" w:hAnsi="宋体" w:cs="宋体"/>
          <w:b/>
          <w:bCs/>
        </w:rPr>
        <w:t>、货币资金</w:t>
      </w:r>
      <w:bookmarkEnd w:id="18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库存现金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29,101.84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97,103.28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银行存款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171,319,341.70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134,226,832.83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其他货币资金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92,919,178.70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109,388,765.46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264,267,622.24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243,712,701.57</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F80EE7">
      <w:pPr>
        <w:pStyle w:val="a7"/>
        <w:spacing w:before="60" w:beforeAutospacing="0" w:after="6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其他货币资金期末余额为银行承兑汇票保证金以及定期存款。</w:t>
      </w:r>
    </w:p>
    <w:p w:rsidR="0058782B" w:rsidRPr="00F50B51" w:rsidRDefault="00F80EE7">
      <w:pPr>
        <w:pStyle w:val="3"/>
        <w:spacing w:line="280" w:lineRule="exact"/>
        <w:jc w:val="left"/>
        <w:rPr>
          <w:rFonts w:ascii="宋体" w:hAnsi="宋体" w:cs="宋体"/>
          <w:b/>
          <w:bCs/>
        </w:rPr>
      </w:pPr>
      <w:bookmarkStart w:id="184" w:name="_Toc989072"/>
      <w:r w:rsidRPr="00F50B51">
        <w:rPr>
          <w:rFonts w:ascii="宋体" w:hAnsi="宋体" w:cs="宋体"/>
          <w:b/>
          <w:bCs/>
        </w:rPr>
        <w:t>2</w:t>
      </w:r>
      <w:r w:rsidRPr="00F50B51">
        <w:rPr>
          <w:rFonts w:ascii="宋体" w:hAnsi="宋体" w:cs="宋体"/>
          <w:b/>
          <w:bCs/>
        </w:rPr>
        <w:t>、交易性金融资产</w:t>
      </w:r>
      <w:bookmarkEnd w:id="18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以公允价值计量且其变动计入当期损益的金融资产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101,660.00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504,264.00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远期结售汇合约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101,660.00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504,264.00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101,660.00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504,264.00</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185" w:name="_Toc989073"/>
      <w:r w:rsidRPr="00F50B51">
        <w:rPr>
          <w:rFonts w:ascii="宋体" w:hAnsi="宋体" w:cs="宋体"/>
          <w:b/>
          <w:bCs/>
        </w:rPr>
        <w:t>3</w:t>
      </w:r>
      <w:r w:rsidRPr="00F50B51">
        <w:rPr>
          <w:rFonts w:ascii="宋体" w:hAnsi="宋体" w:cs="宋体"/>
          <w:b/>
          <w:bCs/>
        </w:rPr>
        <w:t>、衍生金融资产</w:t>
      </w:r>
      <w:bookmarkEnd w:id="18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186" w:name="_Toc989074"/>
      <w:r w:rsidRPr="00F50B51">
        <w:rPr>
          <w:rFonts w:ascii="宋体" w:hAnsi="宋体" w:cs="宋体"/>
          <w:b/>
          <w:bCs/>
        </w:rPr>
        <w:t>4</w:t>
      </w:r>
      <w:r w:rsidRPr="00F50B51">
        <w:rPr>
          <w:rFonts w:ascii="宋体" w:hAnsi="宋体" w:cs="宋体"/>
          <w:b/>
          <w:bCs/>
        </w:rPr>
        <w:t>、应收票据</w:t>
      </w:r>
      <w:bookmarkEnd w:id="186"/>
    </w:p>
    <w:p w:rsidR="0058782B" w:rsidRPr="00F50B51" w:rsidRDefault="00F80EE7">
      <w:pPr>
        <w:keepNext/>
        <w:keepLines/>
        <w:spacing w:before="300" w:after="300" w:line="280" w:lineRule="exact"/>
        <w:outlineLvl w:val="3"/>
        <w:rPr>
          <w:rFonts w:ascii="宋体" w:eastAsia="宋体" w:hAnsi="宋体" w:cs="宋体"/>
          <w:b/>
          <w:bCs/>
          <w:szCs w:val="21"/>
        </w:rPr>
      </w:pPr>
      <w:bookmarkStart w:id="187" w:name="_Toc989075"/>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应收票据分类列示</w:t>
      </w:r>
      <w:bookmarkEnd w:id="18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5"/>
        <w:gridCol w:w="876"/>
        <w:gridCol w:w="877"/>
        <w:gridCol w:w="876"/>
        <w:gridCol w:w="877"/>
        <w:gridCol w:w="876"/>
        <w:gridCol w:w="876"/>
        <w:gridCol w:w="877"/>
        <w:gridCol w:w="876"/>
        <w:gridCol w:w="877"/>
        <w:gridCol w:w="876"/>
      </w:tblGrid>
      <w:tr w:rsidR="0058782B" w:rsidRPr="00F50B51">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r>
      <w:tr w:rsidR="0058782B" w:rsidRPr="00F50B51">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如是按照预期信用损失一般模型计提应收票据坏账准备，请参照其他应收款的披露方式披露坏账准备的相关信息：</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keepNext/>
        <w:keepLines/>
        <w:spacing w:before="300" w:after="300" w:line="280" w:lineRule="exact"/>
        <w:outlineLvl w:val="3"/>
        <w:rPr>
          <w:rFonts w:ascii="宋体" w:eastAsia="宋体" w:hAnsi="宋体" w:cs="宋体"/>
          <w:b/>
          <w:bCs/>
          <w:szCs w:val="21"/>
        </w:rPr>
      </w:pPr>
      <w:bookmarkStart w:id="188" w:name="_Toc989076"/>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本期计提、收回或转回的坏账准备情况</w:t>
      </w:r>
      <w:bookmarkEnd w:id="188"/>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本期计提坏账准备情况：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其中本期坏账准备收回或转回金额重要的：</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keepNext/>
        <w:keepLines/>
        <w:spacing w:before="300" w:after="300" w:line="280" w:lineRule="exact"/>
        <w:outlineLvl w:val="3"/>
        <w:rPr>
          <w:rFonts w:ascii="宋体" w:eastAsia="宋体" w:hAnsi="宋体" w:cs="宋体"/>
          <w:b/>
          <w:bCs/>
          <w:szCs w:val="21"/>
        </w:rPr>
      </w:pPr>
      <w:bookmarkStart w:id="189" w:name="_Toc989077"/>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期末公司已质押的应收票据</w:t>
      </w:r>
      <w:bookmarkEnd w:id="18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期末已质押金额</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190" w:name="_Toc989078"/>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期末公司已背书或贴现且在资产负债表日尚未到期的应收票据</w:t>
      </w:r>
      <w:bookmarkEnd w:id="19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期末终止确认金额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期末未终止确认金额</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191" w:name="_Toc989079"/>
      <w:r w:rsidRPr="00F50B51">
        <w:rPr>
          <w:rFonts w:ascii="宋体" w:eastAsia="宋体" w:hAnsi="宋体" w:cs="宋体"/>
          <w:b/>
          <w:bCs/>
          <w:szCs w:val="21"/>
        </w:rPr>
        <w:t>（</w:t>
      </w:r>
      <w:r w:rsidRPr="00F50B51">
        <w:rPr>
          <w:rFonts w:ascii="宋体" w:eastAsia="宋体" w:hAnsi="宋体" w:cs="宋体"/>
          <w:b/>
          <w:bCs/>
          <w:szCs w:val="21"/>
        </w:rPr>
        <w:t>5</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期末公司因出票人未履约而将其转应收账款的票据</w:t>
      </w:r>
      <w:bookmarkEnd w:id="19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期末转应收账款金额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192" w:name="_Toc989080"/>
      <w:r w:rsidRPr="00F50B51">
        <w:rPr>
          <w:rFonts w:ascii="宋体" w:eastAsia="宋体" w:hAnsi="宋体" w:cs="宋体"/>
          <w:b/>
          <w:bCs/>
          <w:szCs w:val="21"/>
        </w:rPr>
        <w:t>（</w:t>
      </w:r>
      <w:r w:rsidRPr="00F50B51">
        <w:rPr>
          <w:rFonts w:ascii="宋体" w:eastAsia="宋体" w:hAnsi="宋体" w:cs="宋体"/>
          <w:b/>
          <w:bCs/>
          <w:szCs w:val="21"/>
        </w:rPr>
        <w:t>6</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本期实际核销的应收票据情况</w:t>
      </w:r>
      <w:bookmarkEnd w:id="19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核销金额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其中重要的应收票据核销情况：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应收票据性质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款项是否由关联交易产生</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应收票据核销说明：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193" w:name="_Toc989081"/>
      <w:r w:rsidRPr="00F50B51">
        <w:rPr>
          <w:rFonts w:ascii="宋体" w:hAnsi="宋体" w:cs="宋体"/>
          <w:b/>
          <w:bCs/>
        </w:rPr>
        <w:t>5</w:t>
      </w:r>
      <w:r w:rsidRPr="00F50B51">
        <w:rPr>
          <w:rFonts w:ascii="宋体" w:hAnsi="宋体" w:cs="宋体"/>
          <w:b/>
          <w:bCs/>
        </w:rPr>
        <w:t>、应收账款</w:t>
      </w:r>
      <w:bookmarkEnd w:id="193"/>
    </w:p>
    <w:p w:rsidR="0058782B" w:rsidRPr="00F50B51" w:rsidRDefault="00F80EE7">
      <w:pPr>
        <w:keepNext/>
        <w:keepLines/>
        <w:spacing w:before="300" w:after="300" w:line="280" w:lineRule="exact"/>
        <w:outlineLvl w:val="3"/>
        <w:rPr>
          <w:rFonts w:ascii="宋体" w:eastAsia="宋体" w:hAnsi="宋体" w:cs="宋体"/>
          <w:b/>
          <w:bCs/>
          <w:szCs w:val="21"/>
        </w:rPr>
      </w:pPr>
      <w:bookmarkStart w:id="194" w:name="_Toc989082"/>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应收账款分类披露</w:t>
      </w:r>
      <w:bookmarkEnd w:id="19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5"/>
        <w:gridCol w:w="876"/>
        <w:gridCol w:w="877"/>
        <w:gridCol w:w="876"/>
        <w:gridCol w:w="877"/>
        <w:gridCol w:w="876"/>
        <w:gridCol w:w="876"/>
        <w:gridCol w:w="877"/>
        <w:gridCol w:w="876"/>
        <w:gridCol w:w="877"/>
        <w:gridCol w:w="876"/>
      </w:tblGrid>
      <w:tr w:rsidR="0058782B" w:rsidRPr="00F50B51">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r>
      <w:tr w:rsidR="0058782B" w:rsidRPr="00F50B51">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按单项计提坏账准备的应收账款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7,873,947.44</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2.37%</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7,873,947.44</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7,873,947.44</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7,873,947.44</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按组合计提坏账准备的应收账款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324,125,115.55</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97.63%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6,712,005.18</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2.07%</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317,413,110.37</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199,046,100.22</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96.19%</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5,196,727.33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193,849,372.89</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组合</w:t>
            </w:r>
            <w:r w:rsidRPr="00F50B51">
              <w:rPr>
                <w:rFonts w:ascii="宋体" w:eastAsia="宋体" w:hAnsi="宋体" w:cs="宋体"/>
                <w:sz w:val="18"/>
                <w:szCs w:val="18"/>
              </w:rPr>
              <w:t>1</w:t>
            </w:r>
            <w:r w:rsidRPr="00F50B51">
              <w:rPr>
                <w:rFonts w:ascii="宋体" w:eastAsia="宋体" w:hAnsi="宋体" w:cs="宋体"/>
                <w:sz w:val="18"/>
                <w:szCs w:val="18"/>
              </w:rPr>
              <w:t>：应收直销客户</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307,908,142.61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92.74%</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5,377,577.40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1.75%</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302,530,565.21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165,887,914.62</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80.17%</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3,547,057.02</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2.14%</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162,340,857.60</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组合</w:t>
            </w:r>
            <w:r w:rsidRPr="00F50B51">
              <w:rPr>
                <w:rFonts w:ascii="宋体" w:eastAsia="宋体" w:hAnsi="宋体" w:cs="宋体"/>
                <w:sz w:val="18"/>
                <w:szCs w:val="18"/>
              </w:rPr>
              <w:t>2</w:t>
            </w:r>
            <w:r w:rsidRPr="00F50B51">
              <w:rPr>
                <w:rFonts w:ascii="宋体" w:eastAsia="宋体" w:hAnsi="宋体" w:cs="宋体"/>
                <w:sz w:val="18"/>
                <w:szCs w:val="18"/>
              </w:rPr>
              <w:t>：应收经销客户</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16,216,972.94</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4.88%</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1,334,427.78</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14,882,545.16</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33,158,185.60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16.02%</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1,649,670.31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4.98%</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31,508,515.29</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组合</w:t>
            </w:r>
            <w:r w:rsidRPr="00F50B51">
              <w:rPr>
                <w:rFonts w:ascii="宋体" w:eastAsia="宋体" w:hAnsi="宋体" w:cs="宋体"/>
                <w:sz w:val="18"/>
                <w:szCs w:val="18"/>
              </w:rPr>
              <w:t>3</w:t>
            </w:r>
            <w:r w:rsidRPr="00F50B51">
              <w:rPr>
                <w:rFonts w:ascii="宋体" w:eastAsia="宋体" w:hAnsi="宋体" w:cs="宋体"/>
                <w:sz w:val="18"/>
                <w:szCs w:val="18"/>
              </w:rPr>
              <w:t>：应收合并范围内关联方客户</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331,999,062.99</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14,585,952.62</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4.39%</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317,413,110.37</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206,920,047.66</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13,070,674.77</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6.32%</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193,849,372.89</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按单项计提坏账准备：</w:t>
      </w:r>
      <w:r w:rsidRPr="00F50B51">
        <w:rPr>
          <w:rFonts w:ascii="宋体" w:eastAsia="宋体" w:hAnsi="宋体" w:cs="宋体"/>
          <w:sz w:val="18"/>
          <w:szCs w:val="18"/>
        </w:rPr>
        <w:t>7,873,947.44</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名称</w:t>
            </w:r>
          </w:p>
        </w:tc>
        <w:tc>
          <w:tcPr>
            <w:tcW w:w="771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计提理由</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浙江晶鑫合金有限公司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2,727,162.21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2,727,162.21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款项无法收回</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株洲立华有色金属研究所</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1,134,100.00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1,134,100.00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款项无法收回</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株洲荣昌钨钼科技有限公司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1,131,393.16</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1,131,393.16</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客户已被吊销</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2,881,292.07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2,881,292.07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款项无法收回</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7,873,947.44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7,873,947.44</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按组合计提坏账准备：</w:t>
      </w:r>
      <w:r w:rsidRPr="00F50B51">
        <w:rPr>
          <w:rFonts w:ascii="宋体" w:eastAsia="宋体" w:hAnsi="宋体" w:cs="宋体"/>
          <w:sz w:val="18"/>
          <w:szCs w:val="18"/>
        </w:rPr>
        <w:t>5,377,577.40</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计提比例</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307,040,487.03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4,532,160.46</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1-2</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14,244.98</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1,364.16</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9.58%</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2-3</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3,194.02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1,473.85</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46.14%</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3-4</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543,395.76</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535,758.11</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98.59%</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4-5</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年以上</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306,820.82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306,820.82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307,908,142.61</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5,377,577.40</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确定该组合依据的说明：</w:t>
      </w:r>
    </w:p>
    <w:p w:rsidR="0058782B" w:rsidRPr="00F50B51" w:rsidRDefault="00F80EE7">
      <w:pPr>
        <w:pStyle w:val="a7"/>
        <w:spacing w:before="0" w:beforeAutospacing="0" w:after="0" w:afterAutospacing="0"/>
        <w:rPr>
          <w:rFonts w:ascii="等线" w:eastAsia="等线" w:hAnsi="等线"/>
          <w:sz w:val="21"/>
          <w:szCs w:val="21"/>
        </w:rPr>
      </w:pPr>
      <w:r w:rsidRPr="00F50B51">
        <w:rPr>
          <w:rFonts w:hint="eastAsia"/>
          <w:sz w:val="18"/>
          <w:szCs w:val="18"/>
        </w:rPr>
        <w:t>组合</w:t>
      </w:r>
      <w:r w:rsidRPr="00F50B51">
        <w:rPr>
          <w:rFonts w:hint="eastAsia"/>
          <w:sz w:val="18"/>
          <w:szCs w:val="18"/>
        </w:rPr>
        <w:t>1</w:t>
      </w:r>
      <w:r w:rsidRPr="00F50B51">
        <w:rPr>
          <w:rFonts w:hint="eastAsia"/>
          <w:sz w:val="18"/>
          <w:szCs w:val="18"/>
        </w:rPr>
        <w:t>：应收直销客户</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按组合计提坏账准备：</w:t>
      </w:r>
      <w:r w:rsidRPr="00F50B51">
        <w:rPr>
          <w:rFonts w:ascii="宋体" w:eastAsia="宋体" w:hAnsi="宋体" w:cs="宋体"/>
          <w:sz w:val="18"/>
          <w:szCs w:val="18"/>
        </w:rPr>
        <w:t>1,334,427.78</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计提比例</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16,098,589.98</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1,222,308.11</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7.59%</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1-2</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14,194.57</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7,931.28</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55.88%</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2-3</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3-4</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54,188.39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54,188.39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4-5</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年以上</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47,000.00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47,000.00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16,216,972.94</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1,334,427.78</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确定该组合依据的说明：</w:t>
      </w:r>
    </w:p>
    <w:p w:rsidR="0058782B" w:rsidRPr="00F50B51" w:rsidRDefault="00F80EE7">
      <w:pPr>
        <w:pStyle w:val="a7"/>
        <w:spacing w:before="0" w:beforeAutospacing="0" w:after="0" w:afterAutospacing="0"/>
        <w:rPr>
          <w:rFonts w:ascii="等线" w:eastAsia="等线" w:hAnsi="等线"/>
          <w:sz w:val="21"/>
          <w:szCs w:val="21"/>
        </w:rPr>
      </w:pPr>
      <w:r w:rsidRPr="00F50B51">
        <w:rPr>
          <w:rFonts w:hint="eastAsia"/>
          <w:sz w:val="18"/>
          <w:szCs w:val="18"/>
        </w:rPr>
        <w:t>组合</w:t>
      </w:r>
      <w:r w:rsidRPr="00F50B51">
        <w:rPr>
          <w:rFonts w:hint="eastAsia"/>
          <w:sz w:val="18"/>
          <w:szCs w:val="18"/>
        </w:rPr>
        <w:t>2</w:t>
      </w:r>
      <w:r w:rsidRPr="00F50B51">
        <w:rPr>
          <w:rFonts w:hint="eastAsia"/>
          <w:sz w:val="18"/>
          <w:szCs w:val="18"/>
        </w:rPr>
        <w:t>：应收经销客户</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如是按照预期信用损失一般模型计提应收账款坏账准备，请参照其他应收款的披露方式披露坏账准备的相关信息：</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按账龄披露</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年以内（含</w:t>
            </w:r>
            <w:r w:rsidRPr="00F50B51">
              <w:rPr>
                <w:rFonts w:ascii="宋体" w:eastAsia="宋体" w:hAnsi="宋体" w:cs="宋体"/>
                <w:sz w:val="18"/>
                <w:szCs w:val="18"/>
              </w:rPr>
              <w:t>1</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323,139,077.01</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至</w:t>
            </w:r>
            <w:r w:rsidRPr="00F50B51">
              <w:rPr>
                <w:rFonts w:ascii="宋体" w:eastAsia="宋体" w:hAnsi="宋体" w:cs="宋体"/>
                <w:sz w:val="18"/>
                <w:szCs w:val="18"/>
              </w:rPr>
              <w:t>2</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28,439.55</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至</w:t>
            </w:r>
            <w:r w:rsidRPr="00F50B51">
              <w:rPr>
                <w:rFonts w:ascii="宋体" w:eastAsia="宋体" w:hAnsi="宋体" w:cs="宋体"/>
                <w:sz w:val="18"/>
                <w:szCs w:val="18"/>
              </w:rPr>
              <w:t>3</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6,194.02</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年以上</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8,825,352.41</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至</w:t>
            </w:r>
            <w:r w:rsidRPr="00F50B51">
              <w:rPr>
                <w:rFonts w:ascii="宋体" w:eastAsia="宋体" w:hAnsi="宋体" w:cs="宋体"/>
                <w:sz w:val="18"/>
                <w:szCs w:val="18"/>
              </w:rPr>
              <w:t>4</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597,584.15</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至</w:t>
            </w:r>
            <w:r w:rsidRPr="00F50B51">
              <w:rPr>
                <w:rFonts w:ascii="宋体" w:eastAsia="宋体" w:hAnsi="宋体" w:cs="宋体"/>
                <w:sz w:val="18"/>
                <w:szCs w:val="18"/>
              </w:rPr>
              <w:t>5</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122,968.28</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年以上</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8,104,799.98</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331,999,062.99</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195" w:name="_Toc989083"/>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本期计提、收回或转回的坏账准备情况</w:t>
      </w:r>
      <w:bookmarkEnd w:id="195"/>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本期计提坏账准备情况：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坏账准备</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13,070,674.77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1,515,277.85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14,585,952.62</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13,070,674.77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1,515,277.85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14,585,952.62</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其中本期坏账准备收回或转回金额重要的：</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收回或转回金额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收回方式</w:t>
            </w:r>
          </w:p>
        </w:tc>
      </w:tr>
    </w:tbl>
    <w:p w:rsidR="0058782B" w:rsidRPr="00F50B51" w:rsidRDefault="0058782B">
      <w:pPr>
        <w:spacing w:before="100" w:after="100" w:line="0" w:lineRule="atLeast"/>
      </w:pP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196" w:name="_Toc989084"/>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本期实际核销的应收账款情况</w:t>
      </w:r>
      <w:bookmarkEnd w:id="19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核销金额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其中重要的应收账款核销情况：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应收账款性质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款项是否由关联交易产生</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应收账款核销说明：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197" w:name="_Toc989085"/>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按欠款方归集的期末余额前五名的应收账款情况</w:t>
      </w:r>
      <w:bookmarkEnd w:id="19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应收账款期末余额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占应收账款期末余额合计数的比例</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坏账准备期末余额</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第一名</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33,281,832.60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394,266.88</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第二名</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29,937,423.00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356,169.04</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第三名</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19,437,500.00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5.85%</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230,262.63</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第四名</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18,950,695.54</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5.71%</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224,495.79</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第五名</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17,753,558.63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5.35%</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210,314.14</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119,361,009.77</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35.95%</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198" w:name="_Toc989086"/>
      <w:r w:rsidRPr="00F50B51">
        <w:rPr>
          <w:rFonts w:ascii="宋体" w:eastAsia="宋体" w:hAnsi="宋体" w:cs="宋体"/>
          <w:b/>
          <w:bCs/>
          <w:szCs w:val="21"/>
        </w:rPr>
        <w:t>（</w:t>
      </w:r>
      <w:r w:rsidRPr="00F50B51">
        <w:rPr>
          <w:rFonts w:ascii="宋体" w:eastAsia="宋体" w:hAnsi="宋体" w:cs="宋体"/>
          <w:b/>
          <w:bCs/>
          <w:szCs w:val="21"/>
        </w:rPr>
        <w:t>5</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因金融资产转移而终止确认的应收账款</w:t>
      </w:r>
      <w:bookmarkEnd w:id="198"/>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199" w:name="_Toc989087"/>
      <w:r w:rsidRPr="00F50B51">
        <w:rPr>
          <w:rFonts w:ascii="宋体" w:eastAsia="宋体" w:hAnsi="宋体" w:cs="宋体"/>
          <w:b/>
          <w:bCs/>
          <w:szCs w:val="21"/>
        </w:rPr>
        <w:t>（</w:t>
      </w:r>
      <w:r w:rsidRPr="00F50B51">
        <w:rPr>
          <w:rFonts w:ascii="宋体" w:eastAsia="宋体" w:hAnsi="宋体" w:cs="宋体"/>
          <w:b/>
          <w:bCs/>
          <w:szCs w:val="21"/>
        </w:rPr>
        <w:t>6</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转移应收账款且继续涉入形成的资产、负债金额</w:t>
      </w:r>
      <w:bookmarkEnd w:id="199"/>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00" w:name="_Toc989088"/>
      <w:r w:rsidRPr="00F50B51">
        <w:rPr>
          <w:rFonts w:ascii="宋体" w:hAnsi="宋体" w:cs="宋体"/>
          <w:b/>
          <w:bCs/>
        </w:rPr>
        <w:t>6</w:t>
      </w:r>
      <w:r w:rsidRPr="00F50B51">
        <w:rPr>
          <w:rFonts w:ascii="宋体" w:hAnsi="宋体" w:cs="宋体"/>
          <w:b/>
          <w:bCs/>
        </w:rPr>
        <w:t>、应收款项融资</w:t>
      </w:r>
      <w:bookmarkEnd w:id="20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应收票据：</w:t>
            </w:r>
          </w:p>
          <w:p w:rsidR="0058782B" w:rsidRPr="00F50B51" w:rsidRDefault="0058782B">
            <w:pPr>
              <w:spacing w:line="240" w:lineRule="exact"/>
              <w:rPr>
                <w:rFonts w:ascii="宋体" w:eastAsia="宋体" w:hAnsi="宋体" w:cs="宋体"/>
                <w:sz w:val="18"/>
                <w:szCs w:val="18"/>
              </w:rPr>
            </w:pP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其中：银行承兑汇票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82,963,531.39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123,947,738.42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82,963,531.39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123,947,738.42</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应收款项融资本期增减变动及公允价值变动情况</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如是按照预期信用损失一般模型计提应收款项融资减值准备，请参照其他应收款的披露方式披露减值准备的相关信息：</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pStyle w:val="a7"/>
        <w:spacing w:before="0" w:beforeAutospacing="0" w:after="60" w:afterAutospacing="0" w:line="500" w:lineRule="atLeast"/>
        <w:ind w:firstLine="424"/>
        <w:jc w:val="both"/>
        <w:rPr>
          <w:rFonts w:ascii="Times New Roman" w:hAnsi="Times New Roman" w:cs="Times New Roman"/>
          <w:sz w:val="21"/>
          <w:szCs w:val="21"/>
        </w:rPr>
      </w:pPr>
      <w:r w:rsidRPr="00F50B51">
        <w:rPr>
          <w:rFonts w:cs="Times New Roman" w:hint="eastAsia"/>
          <w:sz w:val="21"/>
          <w:szCs w:val="21"/>
        </w:rPr>
        <w:t>至期末，应收款项融资中的应收票据均为银行承兑汇票，公司按照整个存续期预期信用损失计量银行承兑汇票坏账准备。</w:t>
      </w:r>
      <w:r w:rsidRPr="00F50B51">
        <w:rPr>
          <w:rFonts w:cs="Times New Roman" w:hint="eastAsia"/>
          <w:sz w:val="21"/>
          <w:szCs w:val="21"/>
        </w:rPr>
        <w:t xml:space="preserve"> </w:t>
      </w:r>
      <w:r w:rsidRPr="00F50B51">
        <w:rPr>
          <w:rFonts w:cs="Times New Roman" w:hint="eastAsia"/>
          <w:sz w:val="21"/>
          <w:szCs w:val="21"/>
        </w:rPr>
        <w:t>公司认为所持有的银行承兑汇票不存在重大的信用风险，不会因银行或其他出票人违约而产生重大损失。</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01" w:name="_Toc989089"/>
      <w:r w:rsidRPr="00F50B51">
        <w:rPr>
          <w:rFonts w:ascii="宋体" w:hAnsi="宋体" w:cs="宋体"/>
          <w:b/>
          <w:bCs/>
        </w:rPr>
        <w:t>7</w:t>
      </w:r>
      <w:r w:rsidRPr="00F50B51">
        <w:rPr>
          <w:rFonts w:ascii="宋体" w:hAnsi="宋体" w:cs="宋体"/>
          <w:b/>
          <w:bCs/>
        </w:rPr>
        <w:t>、预付款项</w:t>
      </w:r>
      <w:bookmarkEnd w:id="201"/>
    </w:p>
    <w:p w:rsidR="0058782B" w:rsidRPr="00F50B51" w:rsidRDefault="00F80EE7">
      <w:pPr>
        <w:keepNext/>
        <w:keepLines/>
        <w:spacing w:before="300" w:after="300" w:line="280" w:lineRule="exact"/>
        <w:outlineLvl w:val="3"/>
        <w:rPr>
          <w:rFonts w:ascii="宋体" w:eastAsia="宋体" w:hAnsi="宋体" w:cs="宋体"/>
          <w:b/>
          <w:bCs/>
          <w:szCs w:val="21"/>
        </w:rPr>
      </w:pPr>
      <w:bookmarkStart w:id="202" w:name="_Toc989090"/>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预付款项按账龄列示</w:t>
      </w:r>
      <w:bookmarkEnd w:id="20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账龄</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比例</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33,520,755.87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99.70%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15,678,119.48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98.94%</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至</w:t>
            </w:r>
            <w:r w:rsidRPr="00F50B51">
              <w:rPr>
                <w:rFonts w:ascii="宋体" w:eastAsia="宋体" w:hAnsi="宋体" w:cs="宋体"/>
                <w:sz w:val="18"/>
                <w:szCs w:val="18"/>
              </w:rPr>
              <w:t>2</w:t>
            </w:r>
            <w:r w:rsidRPr="00F50B51">
              <w:rPr>
                <w:rFonts w:ascii="宋体" w:eastAsia="宋体" w:hAnsi="宋体" w:cs="宋体"/>
                <w:sz w:val="18"/>
                <w:szCs w:val="18"/>
              </w:rPr>
              <w:t>年</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32,020.01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0.10%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72,500.00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0.46%</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至</w:t>
            </w:r>
            <w:r w:rsidRPr="00F50B51">
              <w:rPr>
                <w:rFonts w:ascii="宋体" w:eastAsia="宋体" w:hAnsi="宋体" w:cs="宋体"/>
                <w:sz w:val="18"/>
                <w:szCs w:val="18"/>
              </w:rPr>
              <w:t>3</w:t>
            </w:r>
            <w:r w:rsidRPr="00F50B51">
              <w:rPr>
                <w:rFonts w:ascii="宋体" w:eastAsia="宋体" w:hAnsi="宋体" w:cs="宋体"/>
                <w:sz w:val="18"/>
                <w:szCs w:val="18"/>
              </w:rPr>
              <w:t>年</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95,097.00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0.60%</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年以上</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67,597.00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0.20%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33,620,372.88</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15,845,716.48</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账龄超过</w:t>
      </w:r>
      <w:r w:rsidRPr="00F50B51">
        <w:rPr>
          <w:rFonts w:ascii="宋体" w:eastAsia="宋体" w:hAnsi="宋体" w:cs="宋体"/>
          <w:sz w:val="18"/>
          <w:szCs w:val="18"/>
        </w:rPr>
        <w:t>1</w:t>
      </w:r>
      <w:r w:rsidRPr="00F50B51">
        <w:rPr>
          <w:rFonts w:ascii="宋体" w:eastAsia="宋体" w:hAnsi="宋体" w:cs="宋体"/>
          <w:sz w:val="18"/>
          <w:szCs w:val="18"/>
        </w:rPr>
        <w:t>年且金额重要的预付款项未及时结算原因的说明：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203" w:name="_Toc989091"/>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按预付对象归集的期末余额前五名的预付款情况</w:t>
      </w:r>
      <w:bookmarkEnd w:id="203"/>
    </w:p>
    <w:p w:rsidR="0058782B" w:rsidRPr="00F50B51" w:rsidRDefault="00F80EE7">
      <w:pPr>
        <w:pStyle w:val="16"/>
        <w:spacing w:before="120" w:beforeAutospacing="0" w:after="120" w:afterAutospacing="0" w:line="460" w:lineRule="atLeast"/>
        <w:ind w:right="-202" w:firstLine="420"/>
        <w:rPr>
          <w:sz w:val="18"/>
          <w:szCs w:val="18"/>
        </w:rPr>
      </w:pPr>
      <w:r w:rsidRPr="00F50B51">
        <w:rPr>
          <w:rFonts w:cs="Times New Roman" w:hint="eastAsia"/>
          <w:sz w:val="21"/>
          <w:szCs w:val="21"/>
        </w:rPr>
        <w:t>本公司按预付对象归集的</w:t>
      </w:r>
      <w:r w:rsidRPr="00F50B51">
        <w:rPr>
          <w:rFonts w:ascii="Times New Roman" w:hAnsi="Times New Roman" w:cs="Times New Roman"/>
          <w:sz w:val="21"/>
          <w:szCs w:val="21"/>
        </w:rPr>
        <w:t>2022</w:t>
      </w:r>
      <w:r w:rsidRPr="00F50B51">
        <w:rPr>
          <w:rFonts w:cs="Times New Roman" w:hint="eastAsia"/>
          <w:sz w:val="21"/>
          <w:szCs w:val="21"/>
        </w:rPr>
        <w:t>年</w:t>
      </w:r>
      <w:r w:rsidRPr="00F50B51">
        <w:rPr>
          <w:rFonts w:ascii="Times New Roman" w:hAnsi="Times New Roman" w:cs="Times New Roman"/>
          <w:sz w:val="21"/>
          <w:szCs w:val="21"/>
        </w:rPr>
        <w:t>6</w:t>
      </w:r>
      <w:r w:rsidRPr="00F50B51">
        <w:rPr>
          <w:rFonts w:cs="Times New Roman" w:hint="eastAsia"/>
          <w:sz w:val="21"/>
          <w:szCs w:val="21"/>
        </w:rPr>
        <w:t>月</w:t>
      </w:r>
      <w:r w:rsidRPr="00F50B51">
        <w:rPr>
          <w:rFonts w:ascii="Times New Roman" w:hAnsi="Times New Roman" w:cs="Times New Roman"/>
          <w:sz w:val="21"/>
          <w:szCs w:val="21"/>
        </w:rPr>
        <w:t>30</w:t>
      </w:r>
      <w:r w:rsidRPr="00F50B51">
        <w:rPr>
          <w:rFonts w:cs="Times New Roman" w:hint="eastAsia"/>
          <w:sz w:val="21"/>
          <w:szCs w:val="21"/>
        </w:rPr>
        <w:t>日余额前五名预付账款汇总金额为</w:t>
      </w:r>
      <w:r w:rsidRPr="00F50B51">
        <w:rPr>
          <w:rFonts w:ascii="Times New Roman" w:hAnsi="Times New Roman" w:cs="Times New Roman"/>
          <w:sz w:val="21"/>
          <w:szCs w:val="21"/>
        </w:rPr>
        <w:t>31,000,079.99</w:t>
      </w:r>
      <w:r w:rsidRPr="00F50B51">
        <w:rPr>
          <w:rFonts w:cs="Times New Roman" w:hint="eastAsia"/>
          <w:sz w:val="21"/>
          <w:szCs w:val="21"/>
        </w:rPr>
        <w:t>元，占预付账款期末余额合计数的比例为</w:t>
      </w:r>
      <w:r w:rsidRPr="00F50B51">
        <w:rPr>
          <w:rFonts w:ascii="Times New Roman" w:hAnsi="Times New Roman" w:cs="Times New Roman"/>
          <w:sz w:val="21"/>
          <w:szCs w:val="21"/>
        </w:rPr>
        <w:t>92.21%</w:t>
      </w:r>
      <w:r w:rsidRPr="00F50B51">
        <w:rPr>
          <w:rFonts w:cs="Times New Roman" w:hint="eastAsia"/>
          <w:sz w:val="21"/>
          <w:szCs w:val="21"/>
        </w:rPr>
        <w:t>。</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04" w:name="_Toc989092"/>
      <w:r w:rsidRPr="00F50B51">
        <w:rPr>
          <w:rFonts w:ascii="宋体" w:hAnsi="宋体" w:cs="宋体"/>
          <w:b/>
          <w:bCs/>
        </w:rPr>
        <w:t>8</w:t>
      </w:r>
      <w:r w:rsidRPr="00F50B51">
        <w:rPr>
          <w:rFonts w:ascii="宋体" w:hAnsi="宋体" w:cs="宋体"/>
          <w:b/>
          <w:bCs/>
        </w:rPr>
        <w:t>、其他应收款</w:t>
      </w:r>
      <w:bookmarkEnd w:id="20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8,007,943.64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8,006,143.46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8,007,943.64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8,006,143.46</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05" w:name="_Toc989093"/>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应收利息</w:t>
      </w:r>
      <w:bookmarkEnd w:id="205"/>
    </w:p>
    <w:p w:rsidR="0058782B" w:rsidRPr="00F50B51" w:rsidRDefault="00F80EE7">
      <w:pPr>
        <w:keepNext/>
        <w:keepLines/>
        <w:spacing w:before="300" w:after="300" w:line="280" w:lineRule="exact"/>
        <w:outlineLvl w:val="4"/>
        <w:rPr>
          <w:rFonts w:ascii="宋体" w:eastAsia="宋体" w:hAnsi="宋体" w:cs="宋体"/>
          <w:b/>
          <w:bCs/>
          <w:szCs w:val="21"/>
        </w:rPr>
      </w:pPr>
      <w:bookmarkStart w:id="206" w:name="_Toc989094"/>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应收利息分类</w:t>
      </w:r>
      <w:bookmarkEnd w:id="20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keepNext/>
        <w:keepLines/>
        <w:spacing w:before="300" w:after="300" w:line="280" w:lineRule="exact"/>
        <w:outlineLvl w:val="4"/>
        <w:rPr>
          <w:rFonts w:ascii="宋体" w:eastAsia="宋体" w:hAnsi="宋体" w:cs="宋体"/>
          <w:b/>
          <w:bCs/>
          <w:szCs w:val="21"/>
        </w:rPr>
      </w:pPr>
      <w:bookmarkStart w:id="207" w:name="_Toc989095"/>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重要逾期利息</w:t>
      </w:r>
      <w:bookmarkEnd w:id="20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借款单位</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逾期时间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逾期原因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是否发生减值及其判断依据</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4"/>
        <w:rPr>
          <w:rFonts w:ascii="宋体" w:eastAsia="宋体" w:hAnsi="宋体" w:cs="宋体"/>
          <w:b/>
          <w:bCs/>
          <w:szCs w:val="21"/>
        </w:rPr>
      </w:pPr>
      <w:bookmarkStart w:id="208" w:name="_Toc989096"/>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坏账准备计提情况</w:t>
      </w:r>
      <w:bookmarkEnd w:id="208"/>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keepNext/>
        <w:keepLines/>
        <w:spacing w:before="300" w:after="300" w:line="280" w:lineRule="exact"/>
        <w:outlineLvl w:val="3"/>
        <w:rPr>
          <w:rFonts w:ascii="宋体" w:eastAsia="宋体" w:hAnsi="宋体" w:cs="宋体"/>
          <w:b/>
          <w:bCs/>
          <w:szCs w:val="21"/>
        </w:rPr>
      </w:pPr>
      <w:bookmarkStart w:id="209" w:name="_Toc989097"/>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应收股利</w:t>
      </w:r>
      <w:bookmarkEnd w:id="209"/>
    </w:p>
    <w:p w:rsidR="0058782B" w:rsidRPr="00F50B51" w:rsidRDefault="00F80EE7">
      <w:pPr>
        <w:keepNext/>
        <w:keepLines/>
        <w:spacing w:before="300" w:after="300" w:line="280" w:lineRule="exact"/>
        <w:outlineLvl w:val="4"/>
        <w:rPr>
          <w:rFonts w:ascii="宋体" w:eastAsia="宋体" w:hAnsi="宋体" w:cs="宋体"/>
          <w:b/>
          <w:bCs/>
          <w:szCs w:val="21"/>
        </w:rPr>
      </w:pPr>
      <w:bookmarkStart w:id="210" w:name="_Toc989098"/>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应收股利分类</w:t>
      </w:r>
      <w:bookmarkEnd w:id="21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r w:rsidRPr="00F50B51">
              <w:rPr>
                <w:rFonts w:ascii="宋体" w:eastAsia="宋体" w:hAnsi="宋体" w:cs="宋体"/>
                <w:sz w:val="18"/>
                <w:szCs w:val="18"/>
              </w:rPr>
              <w:t>(</w:t>
            </w:r>
            <w:r w:rsidRPr="00F50B51">
              <w:rPr>
                <w:rFonts w:ascii="宋体" w:eastAsia="宋体" w:hAnsi="宋体" w:cs="宋体"/>
                <w:sz w:val="18"/>
                <w:szCs w:val="18"/>
              </w:rPr>
              <w:t>或被投资单位</w:t>
            </w:r>
            <w:r w:rsidRPr="00F50B51">
              <w:rPr>
                <w:rFonts w:ascii="宋体" w:eastAsia="宋体" w:hAnsi="宋体" w:cs="宋体"/>
                <w:sz w:val="18"/>
                <w:szCs w:val="18"/>
              </w:rPr>
              <w:t>)</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keepNext/>
        <w:keepLines/>
        <w:spacing w:before="300" w:after="300" w:line="280" w:lineRule="exact"/>
        <w:outlineLvl w:val="4"/>
        <w:rPr>
          <w:rFonts w:ascii="宋体" w:eastAsia="宋体" w:hAnsi="宋体" w:cs="宋体"/>
          <w:b/>
          <w:bCs/>
          <w:szCs w:val="21"/>
        </w:rPr>
      </w:pPr>
      <w:bookmarkStart w:id="211" w:name="_Toc989099"/>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重要的账龄超过</w:t>
      </w:r>
      <w:r w:rsidRPr="00F50B51">
        <w:rPr>
          <w:rFonts w:ascii="宋体" w:eastAsia="宋体" w:hAnsi="宋体" w:cs="宋体"/>
          <w:b/>
          <w:bCs/>
          <w:szCs w:val="21"/>
        </w:rPr>
        <w:t>1</w:t>
      </w:r>
      <w:r w:rsidRPr="00F50B51">
        <w:rPr>
          <w:rFonts w:ascii="宋体" w:eastAsia="宋体" w:hAnsi="宋体" w:cs="宋体"/>
          <w:b/>
          <w:bCs/>
          <w:szCs w:val="21"/>
        </w:rPr>
        <w:t>年的应收股利</w:t>
      </w:r>
      <w:bookmarkEnd w:id="21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r w:rsidRPr="00F50B51">
              <w:rPr>
                <w:rFonts w:ascii="宋体" w:eastAsia="宋体" w:hAnsi="宋体" w:cs="宋体"/>
                <w:sz w:val="18"/>
                <w:szCs w:val="18"/>
              </w:rPr>
              <w:t>(</w:t>
            </w:r>
            <w:r w:rsidRPr="00F50B51">
              <w:rPr>
                <w:rFonts w:ascii="宋体" w:eastAsia="宋体" w:hAnsi="宋体" w:cs="宋体"/>
                <w:sz w:val="18"/>
                <w:szCs w:val="18"/>
              </w:rPr>
              <w:t>或被投资单位</w:t>
            </w:r>
            <w:r w:rsidRPr="00F50B51">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账龄</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未收回的原因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是否发生减值及其判断依据</w:t>
            </w:r>
          </w:p>
        </w:tc>
      </w:tr>
    </w:tbl>
    <w:p w:rsidR="0058782B" w:rsidRPr="00F50B51" w:rsidRDefault="00F80EE7">
      <w:pPr>
        <w:keepNext/>
        <w:keepLines/>
        <w:spacing w:before="300" w:after="300" w:line="280" w:lineRule="exact"/>
        <w:outlineLvl w:val="4"/>
        <w:rPr>
          <w:rFonts w:ascii="宋体" w:eastAsia="宋体" w:hAnsi="宋体" w:cs="宋体"/>
          <w:b/>
          <w:bCs/>
          <w:szCs w:val="21"/>
        </w:rPr>
      </w:pPr>
      <w:bookmarkStart w:id="212" w:name="_Toc989100"/>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坏账准备计提情况</w:t>
      </w:r>
      <w:bookmarkEnd w:id="212"/>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213" w:name="_Toc989101"/>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其他应收款</w:t>
      </w:r>
      <w:bookmarkEnd w:id="213"/>
    </w:p>
    <w:p w:rsidR="0058782B" w:rsidRPr="00F50B51" w:rsidRDefault="00F80EE7">
      <w:pPr>
        <w:keepNext/>
        <w:keepLines/>
        <w:spacing w:before="300" w:after="300" w:line="280" w:lineRule="exact"/>
        <w:outlineLvl w:val="4"/>
        <w:rPr>
          <w:rFonts w:ascii="宋体" w:eastAsia="宋体" w:hAnsi="宋体" w:cs="宋体"/>
          <w:b/>
          <w:bCs/>
          <w:szCs w:val="21"/>
        </w:rPr>
      </w:pPr>
      <w:bookmarkStart w:id="214" w:name="_Toc989102"/>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其他应收款按款项性质分类情况</w:t>
      </w:r>
      <w:bookmarkEnd w:id="21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款项性质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期初账面余额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政府拆迁补偿款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5,764,117.77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政府补助款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6,812,552.82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往来款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2,418,482.75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3,901,969.91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社保公积金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466,647.97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456,504.35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员工借款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535,261.42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489,559.08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押金保证金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259,400.00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69,900.00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69,124.38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147,420.38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10,561,469.34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10,829,471.49</w:t>
            </w:r>
          </w:p>
        </w:tc>
      </w:tr>
    </w:tbl>
    <w:p w:rsidR="0058782B" w:rsidRPr="00F50B51" w:rsidRDefault="00F80EE7">
      <w:pPr>
        <w:keepNext/>
        <w:keepLines/>
        <w:spacing w:before="300" w:after="300" w:line="280" w:lineRule="exact"/>
        <w:outlineLvl w:val="4"/>
        <w:rPr>
          <w:rFonts w:ascii="宋体" w:eastAsia="宋体" w:hAnsi="宋体" w:cs="宋体"/>
          <w:b/>
          <w:bCs/>
          <w:szCs w:val="21"/>
        </w:rPr>
      </w:pPr>
      <w:bookmarkStart w:id="215" w:name="_Toc989103"/>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坏账准备计提情况</w:t>
      </w:r>
      <w:bookmarkEnd w:id="21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r>
      <w:tr w:rsidR="0058782B" w:rsidRPr="00F50B5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未来</w:t>
            </w:r>
            <w:r w:rsidRPr="00F50B51">
              <w:rPr>
                <w:rFonts w:ascii="宋体" w:eastAsia="宋体" w:hAnsi="宋体" w:cs="宋体"/>
                <w:sz w:val="18"/>
                <w:szCs w:val="18"/>
              </w:rPr>
              <w:t>12</w:t>
            </w:r>
            <w:r w:rsidRPr="00F50B51">
              <w:rPr>
                <w:rFonts w:ascii="宋体" w:eastAsia="宋体" w:hAnsi="宋体" w:cs="宋体"/>
                <w:sz w:val="18"/>
                <w:szCs w:val="18"/>
              </w:rPr>
              <w:t>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整个存续期预期信用损失</w:t>
            </w:r>
            <w:r w:rsidRPr="00F50B51">
              <w:rPr>
                <w:rFonts w:ascii="宋体" w:eastAsia="宋体" w:hAnsi="宋体" w:cs="宋体"/>
                <w:sz w:val="18"/>
                <w:szCs w:val="18"/>
              </w:rPr>
              <w:t>(</w:t>
            </w:r>
            <w:r w:rsidRPr="00F50B51">
              <w:rPr>
                <w:rFonts w:ascii="宋体" w:eastAsia="宋体" w:hAnsi="宋体" w:cs="宋体"/>
                <w:sz w:val="18"/>
                <w:szCs w:val="18"/>
              </w:rPr>
              <w:t>未发生信用减值</w:t>
            </w:r>
            <w:r w:rsidRPr="00F50B51">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整个存续期预期信用损失</w:t>
            </w:r>
            <w:r w:rsidRPr="00F50B51">
              <w:rPr>
                <w:rFonts w:ascii="宋体" w:eastAsia="宋体" w:hAnsi="宋体" w:cs="宋体"/>
                <w:sz w:val="18"/>
                <w:szCs w:val="18"/>
              </w:rPr>
              <w:t>(</w:t>
            </w:r>
            <w:r w:rsidRPr="00F50B51">
              <w:rPr>
                <w:rFonts w:ascii="宋体" w:eastAsia="宋体" w:hAnsi="宋体" w:cs="宋体"/>
                <w:sz w:val="18"/>
                <w:szCs w:val="18"/>
              </w:rPr>
              <w:t>已发生信用减值</w:t>
            </w:r>
            <w:r w:rsidRPr="00F50B51">
              <w:rPr>
                <w:rFonts w:ascii="宋体" w:eastAsia="宋体" w:hAnsi="宋体" w:cs="宋体"/>
                <w:sz w:val="18"/>
                <w:szCs w:val="18"/>
              </w:rPr>
              <w:t>)</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1</w:t>
            </w:r>
            <w:r w:rsidRPr="00F50B51">
              <w:rPr>
                <w:rFonts w:ascii="宋体" w:eastAsia="宋体" w:hAnsi="宋体" w:cs="宋体"/>
                <w:sz w:val="18"/>
                <w:szCs w:val="18"/>
              </w:rPr>
              <w:t>月</w:t>
            </w:r>
            <w:r w:rsidRPr="00F50B51">
              <w:rPr>
                <w:rFonts w:ascii="宋体" w:eastAsia="宋体" w:hAnsi="宋体" w:cs="宋体"/>
                <w:sz w:val="18"/>
                <w:szCs w:val="18"/>
              </w:rPr>
              <w:t>1</w:t>
            </w:r>
            <w:r w:rsidRPr="00F50B51">
              <w:rPr>
                <w:rFonts w:ascii="宋体" w:eastAsia="宋体" w:hAnsi="宋体" w:cs="宋体"/>
                <w:sz w:val="18"/>
                <w:szCs w:val="18"/>
              </w:rPr>
              <w:t>日余额</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2,823,328.03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2,823,328.03</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1</w:t>
            </w:r>
            <w:r w:rsidRPr="00F50B51">
              <w:rPr>
                <w:rFonts w:ascii="宋体" w:eastAsia="宋体" w:hAnsi="宋体" w:cs="宋体"/>
                <w:sz w:val="18"/>
                <w:szCs w:val="18"/>
              </w:rPr>
              <w:t>月</w:t>
            </w:r>
            <w:r w:rsidRPr="00F50B51">
              <w:rPr>
                <w:rFonts w:ascii="宋体" w:eastAsia="宋体" w:hAnsi="宋体" w:cs="宋体"/>
                <w:sz w:val="18"/>
                <w:szCs w:val="18"/>
              </w:rPr>
              <w:t>1</w:t>
            </w:r>
            <w:r w:rsidRPr="00F50B51">
              <w:rPr>
                <w:rFonts w:ascii="宋体" w:eastAsia="宋体" w:hAnsi="宋体" w:cs="宋体"/>
                <w:sz w:val="18"/>
                <w:szCs w:val="18"/>
              </w:rPr>
              <w:t>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本期转回</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269,802.33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269,802.33</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日余额</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2,553,525.70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2,553,525.70</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损失准备本期变动金额重大的账面余额变动情况</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按账龄披露</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年以内（含</w:t>
            </w:r>
            <w:r w:rsidRPr="00F50B51">
              <w:rPr>
                <w:rFonts w:ascii="宋体" w:eastAsia="宋体" w:hAnsi="宋体" w:cs="宋体"/>
                <w:sz w:val="18"/>
                <w:szCs w:val="18"/>
              </w:rPr>
              <w:t>1</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6,327,412.21</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至</w:t>
            </w:r>
            <w:r w:rsidRPr="00F50B51">
              <w:rPr>
                <w:rFonts w:ascii="宋体" w:eastAsia="宋体" w:hAnsi="宋体" w:cs="宋体"/>
                <w:sz w:val="18"/>
                <w:szCs w:val="18"/>
              </w:rPr>
              <w:t>2</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1,607,715.00</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至</w:t>
            </w:r>
            <w:r w:rsidRPr="00F50B51">
              <w:rPr>
                <w:rFonts w:ascii="宋体" w:eastAsia="宋体" w:hAnsi="宋体" w:cs="宋体"/>
                <w:sz w:val="18"/>
                <w:szCs w:val="18"/>
              </w:rPr>
              <w:t>3</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78,600.00</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年以上</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2,547,742.13</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至</w:t>
            </w:r>
            <w:r w:rsidRPr="00F50B51">
              <w:rPr>
                <w:rFonts w:ascii="宋体" w:eastAsia="宋体" w:hAnsi="宋体" w:cs="宋体"/>
                <w:sz w:val="18"/>
                <w:szCs w:val="18"/>
              </w:rPr>
              <w:t>4</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3,500.00</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至</w:t>
            </w:r>
            <w:r w:rsidRPr="00F50B51">
              <w:rPr>
                <w:rFonts w:ascii="宋体" w:eastAsia="宋体" w:hAnsi="宋体" w:cs="宋体"/>
                <w:sz w:val="18"/>
                <w:szCs w:val="18"/>
              </w:rPr>
              <w:t>5</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2,426,642.75</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年以上</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117,599.38</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10,561,469.34</w:t>
            </w:r>
          </w:p>
        </w:tc>
      </w:tr>
    </w:tbl>
    <w:p w:rsidR="0058782B" w:rsidRPr="00F50B51" w:rsidRDefault="00F80EE7">
      <w:pPr>
        <w:keepNext/>
        <w:keepLines/>
        <w:spacing w:before="300" w:after="300" w:line="280" w:lineRule="exact"/>
        <w:outlineLvl w:val="4"/>
        <w:rPr>
          <w:rFonts w:ascii="宋体" w:eastAsia="宋体" w:hAnsi="宋体" w:cs="宋体"/>
          <w:b/>
          <w:bCs/>
          <w:szCs w:val="21"/>
        </w:rPr>
      </w:pPr>
      <w:bookmarkStart w:id="216" w:name="_Toc989104"/>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本期计提、收回或转回的坏账准备情况</w:t>
      </w:r>
      <w:bookmarkEnd w:id="216"/>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本期计提坏账准备情况：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坏账准备</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2,823,328.03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269,802.33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2,553,525.70</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2,823,328.03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269,802.33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2,553,525.70</w:t>
            </w:r>
          </w:p>
        </w:tc>
      </w:tr>
    </w:tbl>
    <w:p w:rsidR="0058782B" w:rsidRPr="00F50B51" w:rsidRDefault="0058782B">
      <w:pPr>
        <w:spacing w:before="100" w:after="100" w:line="0" w:lineRule="atLeast"/>
      </w:pP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其中本期坏账准备转回或收回金额重要的：</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转回或收回金额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收回方式</w:t>
            </w:r>
          </w:p>
        </w:tc>
      </w:tr>
    </w:tbl>
    <w:p w:rsidR="0058782B" w:rsidRPr="00F50B51" w:rsidRDefault="0058782B">
      <w:pPr>
        <w:spacing w:before="100" w:after="100" w:line="0" w:lineRule="atLeast"/>
      </w:pPr>
    </w:p>
    <w:p w:rsidR="0058782B" w:rsidRPr="00F50B51" w:rsidRDefault="0058782B">
      <w:pPr>
        <w:rPr>
          <w:sz w:val="18"/>
          <w:szCs w:val="18"/>
        </w:rPr>
      </w:pPr>
    </w:p>
    <w:p w:rsidR="0058782B" w:rsidRPr="00F50B51" w:rsidRDefault="00F80EE7">
      <w:pPr>
        <w:keepNext/>
        <w:keepLines/>
        <w:spacing w:before="300" w:after="300" w:line="280" w:lineRule="exact"/>
        <w:outlineLvl w:val="4"/>
        <w:rPr>
          <w:rFonts w:ascii="宋体" w:eastAsia="宋体" w:hAnsi="宋体" w:cs="宋体"/>
          <w:b/>
          <w:bCs/>
          <w:szCs w:val="21"/>
        </w:rPr>
      </w:pPr>
      <w:bookmarkStart w:id="217" w:name="_Toc989105"/>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本期实际核销的其他应收款情况</w:t>
      </w:r>
      <w:bookmarkEnd w:id="21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核销金额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其中重要的其他应收款核销情况：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其他应收款性质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款项是否由关联交易产生</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其他应收款核销说明：</w:t>
      </w:r>
    </w:p>
    <w:p w:rsidR="0058782B" w:rsidRPr="00F50B51" w:rsidRDefault="0058782B">
      <w:pPr>
        <w:rPr>
          <w:sz w:val="18"/>
          <w:szCs w:val="18"/>
        </w:rPr>
      </w:pPr>
    </w:p>
    <w:p w:rsidR="0058782B" w:rsidRPr="00F50B51" w:rsidRDefault="00F80EE7">
      <w:pPr>
        <w:keepNext/>
        <w:keepLines/>
        <w:spacing w:before="300" w:after="300" w:line="280" w:lineRule="exact"/>
        <w:outlineLvl w:val="4"/>
        <w:rPr>
          <w:rFonts w:ascii="宋体" w:eastAsia="宋体" w:hAnsi="宋体" w:cs="宋体"/>
          <w:b/>
          <w:bCs/>
          <w:szCs w:val="21"/>
        </w:rPr>
      </w:pPr>
      <w:bookmarkStart w:id="218" w:name="_Toc989106"/>
      <w:r w:rsidRPr="00F50B51">
        <w:rPr>
          <w:rFonts w:ascii="宋体" w:eastAsia="宋体" w:hAnsi="宋体" w:cs="宋体"/>
          <w:b/>
          <w:bCs/>
          <w:szCs w:val="21"/>
        </w:rPr>
        <w:t>5</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按欠款方归集的期末余额前五名的其他应收款情况</w:t>
      </w:r>
      <w:bookmarkEnd w:id="218"/>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款项的性质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账龄</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占其他应收款期末余额合计数的比例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坏账准备期末余额</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赣州市国资工业投资管理有限公司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政府补助款</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4,152,976.11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39.32%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207,648.81</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大余县工业和信息化局</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政府补助款</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2,659,576.71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r w:rsidRPr="00F50B51">
              <w:rPr>
                <w:rFonts w:ascii="宋体" w:eastAsia="宋体" w:hAnsi="宋体" w:cs="宋体"/>
                <w:sz w:val="18"/>
                <w:szCs w:val="18"/>
              </w:rPr>
              <w:t>1-2</w:t>
            </w:r>
            <w:r w:rsidRPr="00F50B51">
              <w:rPr>
                <w:rFonts w:ascii="宋体" w:eastAsia="宋体" w:hAnsi="宋体" w:cs="宋体"/>
                <w:sz w:val="18"/>
                <w:szCs w:val="18"/>
              </w:rPr>
              <w:t>年</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209,764.59</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大余县鑫盛钨品厂牛斋矿区</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往来款</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2,418,482.75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r w:rsidRPr="00F50B51">
              <w:rPr>
                <w:rFonts w:ascii="宋体" w:eastAsia="宋体" w:hAnsi="宋体" w:cs="宋体"/>
                <w:sz w:val="18"/>
                <w:szCs w:val="18"/>
              </w:rPr>
              <w:t>4-5</w:t>
            </w:r>
            <w:r w:rsidRPr="00F50B51">
              <w:rPr>
                <w:rFonts w:ascii="宋体" w:eastAsia="宋体" w:hAnsi="宋体" w:cs="宋体"/>
                <w:sz w:val="18"/>
                <w:szCs w:val="18"/>
              </w:rPr>
              <w:t>年</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22.90%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1,931,036.20</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社保公积金</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社保公积金</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466,647.97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4.42%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23,332.40</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大余县劳动监察局</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押金保证金</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135,000.00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6,750.00</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9,832,683.54</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93.10%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2,378,532.00</w:t>
            </w:r>
          </w:p>
        </w:tc>
      </w:tr>
    </w:tbl>
    <w:p w:rsidR="0058782B" w:rsidRPr="00F50B51" w:rsidRDefault="00F80EE7">
      <w:pPr>
        <w:keepNext/>
        <w:keepLines/>
        <w:spacing w:before="300" w:after="300" w:line="280" w:lineRule="exact"/>
        <w:outlineLvl w:val="4"/>
        <w:rPr>
          <w:rFonts w:ascii="宋体" w:eastAsia="宋体" w:hAnsi="宋体" w:cs="宋体"/>
          <w:b/>
          <w:bCs/>
          <w:szCs w:val="21"/>
        </w:rPr>
      </w:pPr>
      <w:bookmarkStart w:id="219" w:name="_Toc989107"/>
      <w:r w:rsidRPr="00F50B51">
        <w:rPr>
          <w:rFonts w:ascii="宋体" w:eastAsia="宋体" w:hAnsi="宋体" w:cs="宋体"/>
          <w:b/>
          <w:bCs/>
          <w:szCs w:val="21"/>
        </w:rPr>
        <w:t>6</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涉及政府补助的应收款项</w:t>
      </w:r>
      <w:bookmarkEnd w:id="21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政府补助项目名称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期末账龄</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预计收取的时间、金额及依据</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赣州市国资工业投资管理有限公司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贷款贴息</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4,152,976.11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注</w:t>
            </w:r>
            <w:r w:rsidRPr="00F50B51">
              <w:rPr>
                <w:rFonts w:ascii="宋体" w:eastAsia="宋体" w:hAnsi="宋体" w:cs="宋体"/>
                <w:sz w:val="18"/>
                <w:szCs w:val="18"/>
              </w:rPr>
              <w:t>1</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大余县工业和信息化局</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硬质合金补助、电价补贴</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2,659,576.71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r w:rsidRPr="00F50B51">
              <w:rPr>
                <w:rFonts w:ascii="宋体" w:eastAsia="宋体" w:hAnsi="宋体" w:cs="宋体"/>
                <w:sz w:val="18"/>
                <w:szCs w:val="18"/>
              </w:rPr>
              <w:t>1-2</w:t>
            </w:r>
            <w:r w:rsidRPr="00F50B51">
              <w:rPr>
                <w:rFonts w:ascii="宋体" w:eastAsia="宋体" w:hAnsi="宋体" w:cs="宋体"/>
                <w:sz w:val="18"/>
                <w:szCs w:val="18"/>
              </w:rPr>
              <w:t>年</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注</w:t>
            </w:r>
            <w:r w:rsidRPr="00F50B51">
              <w:rPr>
                <w:rFonts w:ascii="宋体" w:eastAsia="宋体" w:hAnsi="宋体" w:cs="宋体"/>
                <w:sz w:val="18"/>
                <w:szCs w:val="18"/>
              </w:rPr>
              <w:t>2</w:t>
            </w:r>
          </w:p>
        </w:tc>
      </w:tr>
    </w:tbl>
    <w:p w:rsidR="0058782B" w:rsidRPr="00F50B51" w:rsidRDefault="00F80EE7">
      <w:pPr>
        <w:pStyle w:val="a7"/>
        <w:spacing w:before="60" w:beforeAutospacing="0" w:after="120" w:afterAutospacing="0"/>
        <w:ind w:firstLine="420"/>
        <w:jc w:val="both"/>
        <w:rPr>
          <w:rFonts w:ascii="Times New Roman" w:hAnsi="Times New Roman" w:cs="Times New Roman"/>
          <w:sz w:val="21"/>
          <w:szCs w:val="21"/>
        </w:rPr>
      </w:pPr>
      <w:r w:rsidRPr="00F50B51">
        <w:rPr>
          <w:rFonts w:cs="Times New Roman" w:hint="eastAsia"/>
          <w:sz w:val="21"/>
          <w:szCs w:val="21"/>
        </w:rPr>
        <w:t>注</w:t>
      </w:r>
      <w:r w:rsidRPr="00F50B51">
        <w:rPr>
          <w:rFonts w:cs="Times New Roman" w:hint="eastAsia"/>
          <w:sz w:val="21"/>
          <w:szCs w:val="21"/>
        </w:rPr>
        <w:t>1</w:t>
      </w:r>
      <w:r w:rsidRPr="00F50B51">
        <w:rPr>
          <w:rFonts w:cs="Times New Roman" w:hint="eastAsia"/>
          <w:sz w:val="21"/>
          <w:szCs w:val="21"/>
        </w:rPr>
        <w:t>：依据赣州市《重大工业项目投资引导资金管委会</w:t>
      </w:r>
      <w:r w:rsidRPr="00F50B51">
        <w:rPr>
          <w:rFonts w:cs="Times New Roman" w:hint="eastAsia"/>
          <w:sz w:val="21"/>
          <w:szCs w:val="21"/>
        </w:rPr>
        <w:t>2020</w:t>
      </w:r>
      <w:r w:rsidRPr="00F50B51">
        <w:rPr>
          <w:rFonts w:cs="Times New Roman" w:hint="eastAsia"/>
          <w:sz w:val="21"/>
          <w:szCs w:val="21"/>
        </w:rPr>
        <w:t>年第十二次会议决议》，对江西翔鹭引导资金项目</w:t>
      </w:r>
      <w:r w:rsidRPr="00F50B51">
        <w:rPr>
          <w:rFonts w:cs="Times New Roman" w:hint="eastAsia"/>
          <w:sz w:val="21"/>
          <w:szCs w:val="21"/>
        </w:rPr>
        <w:t>2021</w:t>
      </w:r>
      <w:r w:rsidRPr="00F50B51">
        <w:rPr>
          <w:rFonts w:cs="Times New Roman" w:hint="eastAsia"/>
          <w:sz w:val="21"/>
          <w:szCs w:val="21"/>
        </w:rPr>
        <w:t>年和</w:t>
      </w:r>
      <w:r w:rsidRPr="00F50B51">
        <w:rPr>
          <w:rFonts w:cs="Times New Roman" w:hint="eastAsia"/>
          <w:sz w:val="21"/>
          <w:szCs w:val="21"/>
        </w:rPr>
        <w:t>2022</w:t>
      </w:r>
      <w:r w:rsidRPr="00F50B51">
        <w:rPr>
          <w:rFonts w:cs="Times New Roman" w:hint="eastAsia"/>
          <w:sz w:val="21"/>
          <w:szCs w:val="21"/>
        </w:rPr>
        <w:t>年利息与贴息进行计算并向相关部门申报审批，目前审批已经通过，截止</w:t>
      </w:r>
      <w:r w:rsidRPr="00F50B51">
        <w:rPr>
          <w:rFonts w:cs="Times New Roman" w:hint="eastAsia"/>
          <w:sz w:val="21"/>
          <w:szCs w:val="21"/>
        </w:rPr>
        <w:t>2022</w:t>
      </w:r>
      <w:r w:rsidRPr="00F50B51">
        <w:rPr>
          <w:rFonts w:cs="Times New Roman" w:hint="eastAsia"/>
          <w:sz w:val="21"/>
          <w:szCs w:val="21"/>
        </w:rPr>
        <w:t>年</w:t>
      </w:r>
      <w:r w:rsidRPr="00F50B51">
        <w:rPr>
          <w:rFonts w:cs="Times New Roman" w:hint="eastAsia"/>
          <w:sz w:val="21"/>
          <w:szCs w:val="21"/>
        </w:rPr>
        <w:t>6</w:t>
      </w:r>
      <w:r w:rsidRPr="00F50B51">
        <w:rPr>
          <w:rFonts w:cs="Times New Roman" w:hint="eastAsia"/>
          <w:sz w:val="21"/>
          <w:szCs w:val="21"/>
        </w:rPr>
        <w:t>月已收到</w:t>
      </w:r>
      <w:r w:rsidRPr="00F50B51">
        <w:rPr>
          <w:rFonts w:cs="Times New Roman" w:hint="eastAsia"/>
          <w:sz w:val="21"/>
          <w:szCs w:val="21"/>
        </w:rPr>
        <w:t>242.1</w:t>
      </w:r>
      <w:r w:rsidRPr="00F50B51">
        <w:rPr>
          <w:rFonts w:cs="Times New Roman" w:hint="eastAsia"/>
          <w:sz w:val="21"/>
          <w:szCs w:val="21"/>
        </w:rPr>
        <w:t>万，剩余预计</w:t>
      </w:r>
      <w:r w:rsidRPr="00F50B51">
        <w:rPr>
          <w:rFonts w:cs="Times New Roman" w:hint="eastAsia"/>
          <w:sz w:val="21"/>
          <w:szCs w:val="21"/>
        </w:rPr>
        <w:t>2022</w:t>
      </w:r>
      <w:r w:rsidRPr="00F50B51">
        <w:rPr>
          <w:rFonts w:cs="Times New Roman" w:hint="eastAsia"/>
          <w:sz w:val="21"/>
          <w:szCs w:val="21"/>
        </w:rPr>
        <w:t>年</w:t>
      </w:r>
      <w:r w:rsidRPr="00F50B51">
        <w:rPr>
          <w:rFonts w:cs="Times New Roman" w:hint="eastAsia"/>
          <w:sz w:val="21"/>
          <w:szCs w:val="21"/>
          <w:shd w:val="clear" w:color="auto" w:fill="FFFFFF"/>
        </w:rPr>
        <w:t>12</w:t>
      </w:r>
      <w:r w:rsidRPr="00F50B51">
        <w:rPr>
          <w:rFonts w:cs="Times New Roman" w:hint="eastAsia"/>
          <w:sz w:val="21"/>
          <w:szCs w:val="21"/>
        </w:rPr>
        <w:t>月兑现资金拨付。</w:t>
      </w:r>
    </w:p>
    <w:p w:rsidR="0058782B" w:rsidRPr="00F50B51" w:rsidRDefault="00F80EE7">
      <w:pPr>
        <w:pStyle w:val="a7"/>
        <w:spacing w:before="300" w:beforeAutospacing="0" w:after="300" w:afterAutospacing="0" w:line="280" w:lineRule="atLeast"/>
        <w:rPr>
          <w:rFonts w:ascii="Times New Roman" w:hAnsi="Times New Roman" w:cs="Times New Roman"/>
          <w:sz w:val="21"/>
          <w:szCs w:val="21"/>
        </w:rPr>
      </w:pPr>
      <w:r w:rsidRPr="00F50B51">
        <w:rPr>
          <w:rFonts w:cs="Times New Roman" w:hint="eastAsia"/>
          <w:sz w:val="21"/>
          <w:szCs w:val="21"/>
        </w:rPr>
        <w:t>   </w:t>
      </w:r>
      <w:r w:rsidRPr="00F50B51">
        <w:rPr>
          <w:rFonts w:cs="Times New Roman" w:hint="eastAsia"/>
          <w:sz w:val="21"/>
          <w:szCs w:val="21"/>
        </w:rPr>
        <w:t>注</w:t>
      </w:r>
      <w:r w:rsidRPr="00F50B51">
        <w:rPr>
          <w:rFonts w:cs="Times New Roman" w:hint="eastAsia"/>
          <w:sz w:val="21"/>
          <w:szCs w:val="21"/>
        </w:rPr>
        <w:t>2</w:t>
      </w:r>
      <w:r w:rsidRPr="00F50B51">
        <w:rPr>
          <w:rFonts w:cs="Times New Roman" w:hint="eastAsia"/>
          <w:sz w:val="21"/>
          <w:szCs w:val="21"/>
        </w:rPr>
        <w:t>：依据赣州市《全市稀土钨产品销售奖励办法（暂行）》，赣州市政府《关于印发〈赣州市工业企业电价补贴实施办法》（暂行）的通知》（赣市府字</w:t>
      </w:r>
      <w:r w:rsidRPr="00F50B51">
        <w:rPr>
          <w:rFonts w:cs="Times New Roman" w:hint="eastAsia"/>
          <w:sz w:val="21"/>
          <w:szCs w:val="21"/>
        </w:rPr>
        <w:t>[2019]108</w:t>
      </w:r>
      <w:r w:rsidRPr="00F50B51">
        <w:rPr>
          <w:rFonts w:cs="Times New Roman" w:hint="eastAsia"/>
          <w:sz w:val="21"/>
          <w:szCs w:val="21"/>
        </w:rPr>
        <w:t>号）和市发改委、市工信局《关于我市工业企业电价补贴政策补充说明的通知》（赣市发改价格字</w:t>
      </w:r>
      <w:r w:rsidRPr="00F50B51">
        <w:rPr>
          <w:rFonts w:cs="Times New Roman" w:hint="eastAsia"/>
          <w:sz w:val="21"/>
          <w:szCs w:val="21"/>
        </w:rPr>
        <w:t>[202</w:t>
      </w:r>
      <w:r w:rsidRPr="00F50B51">
        <w:rPr>
          <w:rFonts w:cs="Times New Roman" w:hint="eastAsia"/>
          <w:sz w:val="21"/>
          <w:szCs w:val="21"/>
        </w:rPr>
        <w:t>0]660</w:t>
      </w:r>
      <w:r w:rsidRPr="00F50B51">
        <w:rPr>
          <w:rFonts w:cs="Times New Roman" w:hint="eastAsia"/>
          <w:sz w:val="21"/>
          <w:szCs w:val="21"/>
        </w:rPr>
        <w:t>号）等文件规定，计算</w:t>
      </w:r>
      <w:r w:rsidRPr="00F50B51">
        <w:rPr>
          <w:rFonts w:cs="Times New Roman" w:hint="eastAsia"/>
          <w:sz w:val="21"/>
          <w:szCs w:val="21"/>
        </w:rPr>
        <w:t>2021</w:t>
      </w:r>
      <w:r w:rsidRPr="00F50B51">
        <w:rPr>
          <w:rFonts w:cs="Times New Roman" w:hint="eastAsia"/>
          <w:sz w:val="21"/>
          <w:szCs w:val="21"/>
        </w:rPr>
        <w:t>年和</w:t>
      </w:r>
      <w:r w:rsidRPr="00F50B51">
        <w:rPr>
          <w:rFonts w:cs="Times New Roman" w:hint="eastAsia"/>
          <w:sz w:val="21"/>
          <w:szCs w:val="21"/>
        </w:rPr>
        <w:t>2022</w:t>
      </w:r>
      <w:r w:rsidRPr="00F50B51">
        <w:rPr>
          <w:rFonts w:cs="Times New Roman" w:hint="eastAsia"/>
          <w:sz w:val="21"/>
          <w:szCs w:val="21"/>
        </w:rPr>
        <w:t>年各季度补助金额，并向相关部门申报审批，目前审批已通过，预计</w:t>
      </w:r>
      <w:r w:rsidRPr="00F50B51">
        <w:rPr>
          <w:rFonts w:cs="Times New Roman" w:hint="eastAsia"/>
          <w:sz w:val="21"/>
          <w:szCs w:val="21"/>
        </w:rPr>
        <w:t>2022</w:t>
      </w:r>
      <w:r w:rsidRPr="00F50B51">
        <w:rPr>
          <w:rFonts w:cs="Times New Roman" w:hint="eastAsia"/>
          <w:sz w:val="21"/>
          <w:szCs w:val="21"/>
        </w:rPr>
        <w:t>年</w:t>
      </w:r>
      <w:r w:rsidRPr="00F50B51">
        <w:rPr>
          <w:rFonts w:cs="Times New Roman" w:hint="eastAsia"/>
          <w:sz w:val="21"/>
          <w:szCs w:val="21"/>
        </w:rPr>
        <w:t>12</w:t>
      </w:r>
      <w:r w:rsidRPr="00F50B51">
        <w:rPr>
          <w:rFonts w:cs="Times New Roman" w:hint="eastAsia"/>
          <w:sz w:val="21"/>
          <w:szCs w:val="21"/>
        </w:rPr>
        <w:t>月兑现资金拨付。</w:t>
      </w:r>
    </w:p>
    <w:p w:rsidR="0058782B" w:rsidRPr="00F50B51" w:rsidRDefault="00F80EE7">
      <w:pPr>
        <w:keepNext/>
        <w:keepLines/>
        <w:spacing w:before="300" w:after="300" w:line="280" w:lineRule="exact"/>
        <w:outlineLvl w:val="4"/>
        <w:rPr>
          <w:rFonts w:ascii="宋体" w:eastAsia="宋体" w:hAnsi="宋体" w:cs="宋体"/>
          <w:b/>
          <w:bCs/>
          <w:szCs w:val="21"/>
        </w:rPr>
      </w:pPr>
      <w:bookmarkStart w:id="220" w:name="_Toc989108"/>
      <w:r w:rsidRPr="00F50B51">
        <w:rPr>
          <w:rFonts w:ascii="宋体" w:eastAsia="宋体" w:hAnsi="宋体" w:cs="宋体"/>
          <w:b/>
          <w:bCs/>
          <w:szCs w:val="21"/>
        </w:rPr>
        <w:t>7</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因金融资产转移而终止确认的其他应收款</w:t>
      </w:r>
      <w:bookmarkEnd w:id="220"/>
    </w:p>
    <w:p w:rsidR="0058782B" w:rsidRPr="00F50B51" w:rsidRDefault="0058782B">
      <w:pPr>
        <w:rPr>
          <w:sz w:val="18"/>
          <w:szCs w:val="18"/>
        </w:rPr>
      </w:pPr>
    </w:p>
    <w:p w:rsidR="0058782B" w:rsidRPr="00F50B51" w:rsidRDefault="00F80EE7">
      <w:pPr>
        <w:keepNext/>
        <w:keepLines/>
        <w:spacing w:before="300" w:after="300" w:line="280" w:lineRule="exact"/>
        <w:outlineLvl w:val="4"/>
        <w:rPr>
          <w:rFonts w:ascii="宋体" w:eastAsia="宋体" w:hAnsi="宋体" w:cs="宋体"/>
          <w:b/>
          <w:bCs/>
          <w:szCs w:val="21"/>
        </w:rPr>
      </w:pPr>
      <w:bookmarkStart w:id="221" w:name="_Toc989109"/>
      <w:r w:rsidRPr="00F50B51">
        <w:rPr>
          <w:rFonts w:ascii="宋体" w:eastAsia="宋体" w:hAnsi="宋体" w:cs="宋体"/>
          <w:b/>
          <w:bCs/>
          <w:szCs w:val="21"/>
        </w:rPr>
        <w:t>8</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转移其他应收款且继续涉入形成的资产、负债金额</w:t>
      </w:r>
      <w:bookmarkEnd w:id="221"/>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22" w:name="_Toc989110"/>
      <w:r w:rsidRPr="00F50B51">
        <w:rPr>
          <w:rFonts w:ascii="宋体" w:hAnsi="宋体" w:cs="宋体"/>
          <w:b/>
          <w:bCs/>
        </w:rPr>
        <w:t>9</w:t>
      </w:r>
      <w:r w:rsidRPr="00F50B51">
        <w:rPr>
          <w:rFonts w:ascii="宋体" w:hAnsi="宋体" w:cs="宋体"/>
          <w:b/>
          <w:bCs/>
        </w:rPr>
        <w:t>、存货</w:t>
      </w:r>
      <w:bookmarkEnd w:id="222"/>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公司是否需要遵守房地产行业的披露要求</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p w:rsidR="0058782B" w:rsidRPr="00F50B51" w:rsidRDefault="00F80EE7">
      <w:pPr>
        <w:keepNext/>
        <w:keepLines/>
        <w:spacing w:before="300" w:after="300" w:line="280" w:lineRule="exact"/>
        <w:outlineLvl w:val="3"/>
        <w:rPr>
          <w:rFonts w:ascii="宋体" w:eastAsia="宋体" w:hAnsi="宋体" w:cs="宋体"/>
          <w:b/>
          <w:bCs/>
          <w:szCs w:val="21"/>
        </w:rPr>
      </w:pPr>
      <w:bookmarkStart w:id="223" w:name="_Toc989111"/>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存货分类</w:t>
      </w:r>
      <w:bookmarkEnd w:id="22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存货跌价准备或合同履约成本减值准备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存货跌价准备或合同履约成本减值准备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原材料</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229,766,815.94</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229,766,815.94</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246,956,322.52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246,956,322.52</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在产品</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112,184,450.36</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112,184,450.36</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154,911,618.70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154,911,618.70</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库存商品</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262,071,043.40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2,681,921.83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259,389,121.57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217,114,804.02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3,659,976.22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213,454,827.80</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半成品</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131,619,786.25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131,619,786.25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145,971,370.22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145,971,370.22</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委托加工物资</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192,559.47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192,559.47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6,410,754.74</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6,410,754.74</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735,834,655.42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2,681,921.83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733,152,733.59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771,364,870.20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3,659,976.22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767,704,893.98</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24" w:name="_Toc989112"/>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存货跌价准备和合同履约成本减值准备</w:t>
      </w:r>
      <w:bookmarkEnd w:id="22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本期增加金额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转回或转销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库存商品</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3,659,976.22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2,115,017.40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3,093,071.79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2,681,921.83</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3,659,976.22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2,115,017.40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3,093,071.79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2,681,921.83</w:t>
            </w:r>
          </w:p>
        </w:tc>
      </w:tr>
    </w:tbl>
    <w:p w:rsidR="0058782B" w:rsidRPr="00F50B51" w:rsidRDefault="0058782B">
      <w:pPr>
        <w:spacing w:before="60" w:after="60" w:line="0" w:lineRule="atLeast"/>
      </w:pPr>
    </w:p>
    <w:p w:rsidR="0058782B" w:rsidRPr="00F50B51" w:rsidRDefault="00F80EE7">
      <w:pPr>
        <w:pStyle w:val="a7"/>
        <w:spacing w:before="60" w:beforeAutospacing="0" w:after="60" w:afterAutospacing="0" w:line="460" w:lineRule="atLeast"/>
        <w:ind w:firstLine="420"/>
        <w:jc w:val="both"/>
        <w:rPr>
          <w:rFonts w:ascii="Times New Roman" w:hAnsi="Times New Roman" w:cs="Times New Roman"/>
          <w:sz w:val="21"/>
          <w:szCs w:val="21"/>
        </w:rPr>
      </w:pPr>
      <w:r w:rsidRPr="00F50B51">
        <w:rPr>
          <w:rFonts w:cs="Times New Roman" w:hint="eastAsia"/>
          <w:sz w:val="21"/>
          <w:szCs w:val="21"/>
        </w:rPr>
        <w:t>公司期末按照单个存货项目以可变现净值低于账面成本差额计提存货跌价准备，公司存货可变现净值根据估计售价减去至完工估计将要发生的成本、估计的销售费用以及相关税金后的金额确定。</w:t>
      </w:r>
    </w:p>
    <w:p w:rsidR="0058782B" w:rsidRPr="00F50B51" w:rsidRDefault="00F80EE7">
      <w:pPr>
        <w:keepNext/>
        <w:keepLines/>
        <w:spacing w:before="300" w:after="300" w:line="280" w:lineRule="exact"/>
        <w:outlineLvl w:val="3"/>
        <w:rPr>
          <w:rFonts w:ascii="宋体" w:eastAsia="宋体" w:hAnsi="宋体" w:cs="宋体"/>
          <w:b/>
          <w:bCs/>
          <w:szCs w:val="21"/>
        </w:rPr>
      </w:pPr>
      <w:bookmarkStart w:id="225" w:name="_Toc989113"/>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存货期末余额含有借款费用资本化金额的说明</w:t>
      </w:r>
      <w:bookmarkEnd w:id="225"/>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226" w:name="_Toc989114"/>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合同履约成本本期摊销金额的说明</w:t>
      </w:r>
      <w:bookmarkEnd w:id="226"/>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27" w:name="_Toc989115"/>
      <w:r w:rsidRPr="00F50B51">
        <w:rPr>
          <w:rFonts w:ascii="宋体" w:hAnsi="宋体" w:cs="宋体"/>
          <w:b/>
          <w:bCs/>
        </w:rPr>
        <w:t>10</w:t>
      </w:r>
      <w:r w:rsidRPr="00F50B51">
        <w:rPr>
          <w:rFonts w:ascii="宋体" w:hAnsi="宋体" w:cs="宋体"/>
          <w:b/>
          <w:bCs/>
        </w:rPr>
        <w:t>、合同资产</w:t>
      </w:r>
      <w:bookmarkEnd w:id="22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合同资产的账面价值在本期内发生的重大变动金额和原因：</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变动金额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变动原因</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如是按照预期信用损失一般模型计提合同资产减值准备，请参照其他应收款的披露方式披露减值准备的相关信息：</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本期合同资产计提减值准备情况：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本期计提</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本期转回</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本期转销</w:t>
            </w:r>
            <w:r w:rsidRPr="00F50B51">
              <w:rPr>
                <w:rFonts w:ascii="宋体" w:eastAsia="宋体" w:hAnsi="宋体" w:cs="宋体"/>
                <w:sz w:val="18"/>
                <w:szCs w:val="18"/>
              </w:rPr>
              <w:t>/</w:t>
            </w:r>
            <w:r w:rsidRPr="00F50B51">
              <w:rPr>
                <w:rFonts w:ascii="宋体" w:eastAsia="宋体" w:hAnsi="宋体" w:cs="宋体"/>
                <w:sz w:val="18"/>
                <w:szCs w:val="18"/>
              </w:rPr>
              <w:t>核销</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原因</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28" w:name="_Toc989116"/>
      <w:r w:rsidRPr="00F50B51">
        <w:rPr>
          <w:rFonts w:ascii="宋体" w:hAnsi="宋体" w:cs="宋体"/>
          <w:b/>
          <w:bCs/>
        </w:rPr>
        <w:t>11</w:t>
      </w:r>
      <w:r w:rsidRPr="00F50B51">
        <w:rPr>
          <w:rFonts w:ascii="宋体" w:hAnsi="宋体" w:cs="宋体"/>
          <w:b/>
          <w:bCs/>
        </w:rPr>
        <w:t>、持有待售资产</w:t>
      </w:r>
      <w:bookmarkEnd w:id="228"/>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公允价值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预计处置费用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预计处置时间</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29" w:name="_Toc989117"/>
      <w:r w:rsidRPr="00F50B51">
        <w:rPr>
          <w:rFonts w:ascii="宋体" w:hAnsi="宋体" w:cs="宋体"/>
          <w:b/>
          <w:bCs/>
        </w:rPr>
        <w:t>12</w:t>
      </w:r>
      <w:r w:rsidRPr="00F50B51">
        <w:rPr>
          <w:rFonts w:ascii="宋体" w:hAnsi="宋体" w:cs="宋体"/>
          <w:b/>
          <w:bCs/>
        </w:rPr>
        <w:t>、一年内到期的非流动资产</w:t>
      </w:r>
      <w:bookmarkEnd w:id="22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重要的债权投资</w:t>
      </w:r>
      <w:r w:rsidRPr="00F50B51">
        <w:rPr>
          <w:rFonts w:ascii="宋体" w:eastAsia="宋体" w:hAnsi="宋体" w:cs="宋体"/>
          <w:sz w:val="18"/>
          <w:szCs w:val="18"/>
        </w:rPr>
        <w:t>/</w:t>
      </w:r>
      <w:r w:rsidRPr="00F50B51">
        <w:rPr>
          <w:rFonts w:ascii="宋体" w:eastAsia="宋体" w:hAnsi="宋体" w:cs="宋体"/>
          <w:sz w:val="18"/>
          <w:szCs w:val="18"/>
        </w:rPr>
        <w:t>其他债权投资</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债权项目</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面值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票面利率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实际利率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到期日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面值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票面利率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实际利率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到期日</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30" w:name="_Toc989118"/>
      <w:r w:rsidRPr="00F50B51">
        <w:rPr>
          <w:rFonts w:ascii="宋体" w:hAnsi="宋体" w:cs="宋体"/>
          <w:b/>
          <w:bCs/>
        </w:rPr>
        <w:t>13</w:t>
      </w:r>
      <w:r w:rsidRPr="00F50B51">
        <w:rPr>
          <w:rFonts w:ascii="宋体" w:hAnsi="宋体" w:cs="宋体"/>
          <w:b/>
          <w:bCs/>
        </w:rPr>
        <w:t>、其他流动资产</w:t>
      </w:r>
      <w:bookmarkEnd w:id="23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待抵扣增值税进项税额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134,908.23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53,620,547.65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待认证增值税进项税额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5,152,470.20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22,468,432.75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预缴税金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582,526.99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876,062.39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5,869,905.42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76,965,042.79</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31" w:name="_Toc989119"/>
      <w:r w:rsidRPr="00F50B51">
        <w:rPr>
          <w:rFonts w:ascii="宋体" w:hAnsi="宋体" w:cs="宋体"/>
          <w:b/>
          <w:bCs/>
        </w:rPr>
        <w:t>14</w:t>
      </w:r>
      <w:r w:rsidRPr="00F50B51">
        <w:rPr>
          <w:rFonts w:ascii="宋体" w:hAnsi="宋体" w:cs="宋体"/>
          <w:b/>
          <w:bCs/>
        </w:rPr>
        <w:t>、债权投资</w:t>
      </w:r>
      <w:bookmarkEnd w:id="23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重要的债权投资</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债权项目</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面值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票面利率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实际利率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到期日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面值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票面利率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实际利率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到期日</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减值准备计提情况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r>
      <w:tr w:rsidR="0058782B" w:rsidRPr="00F50B5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未来</w:t>
            </w:r>
            <w:r w:rsidRPr="00F50B51">
              <w:rPr>
                <w:rFonts w:ascii="宋体" w:eastAsia="宋体" w:hAnsi="宋体" w:cs="宋体"/>
                <w:sz w:val="18"/>
                <w:szCs w:val="18"/>
              </w:rPr>
              <w:t>12</w:t>
            </w:r>
            <w:r w:rsidRPr="00F50B51">
              <w:rPr>
                <w:rFonts w:ascii="宋体" w:eastAsia="宋体" w:hAnsi="宋体" w:cs="宋体"/>
                <w:sz w:val="18"/>
                <w:szCs w:val="18"/>
              </w:rPr>
              <w:t>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整个存续期预期信用损失</w:t>
            </w:r>
            <w:r w:rsidRPr="00F50B51">
              <w:rPr>
                <w:rFonts w:ascii="宋体" w:eastAsia="宋体" w:hAnsi="宋体" w:cs="宋体"/>
                <w:sz w:val="18"/>
                <w:szCs w:val="18"/>
              </w:rPr>
              <w:t>(</w:t>
            </w:r>
            <w:r w:rsidRPr="00F50B51">
              <w:rPr>
                <w:rFonts w:ascii="宋体" w:eastAsia="宋体" w:hAnsi="宋体" w:cs="宋体"/>
                <w:sz w:val="18"/>
                <w:szCs w:val="18"/>
              </w:rPr>
              <w:t>未发生信用减值</w:t>
            </w:r>
            <w:r w:rsidRPr="00F50B51">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整个存续期预期信用损失</w:t>
            </w:r>
            <w:r w:rsidRPr="00F50B51">
              <w:rPr>
                <w:rFonts w:ascii="宋体" w:eastAsia="宋体" w:hAnsi="宋体" w:cs="宋体"/>
                <w:sz w:val="18"/>
                <w:szCs w:val="18"/>
              </w:rPr>
              <w:t>(</w:t>
            </w:r>
            <w:r w:rsidRPr="00F50B51">
              <w:rPr>
                <w:rFonts w:ascii="宋体" w:eastAsia="宋体" w:hAnsi="宋体" w:cs="宋体"/>
                <w:sz w:val="18"/>
                <w:szCs w:val="18"/>
              </w:rPr>
              <w:t>已发生信用减值</w:t>
            </w:r>
            <w:r w:rsidRPr="00F50B51">
              <w:rPr>
                <w:rFonts w:ascii="宋体" w:eastAsia="宋体" w:hAnsi="宋体" w:cs="宋体"/>
                <w:sz w:val="18"/>
                <w:szCs w:val="18"/>
              </w:rPr>
              <w:t>)</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1</w:t>
            </w:r>
            <w:r w:rsidRPr="00F50B51">
              <w:rPr>
                <w:rFonts w:ascii="宋体" w:eastAsia="宋体" w:hAnsi="宋体" w:cs="宋体"/>
                <w:sz w:val="18"/>
                <w:szCs w:val="18"/>
              </w:rPr>
              <w:t>月</w:t>
            </w:r>
            <w:r w:rsidRPr="00F50B51">
              <w:rPr>
                <w:rFonts w:ascii="宋体" w:eastAsia="宋体" w:hAnsi="宋体" w:cs="宋体"/>
                <w:sz w:val="18"/>
                <w:szCs w:val="18"/>
              </w:rPr>
              <w:t>1</w:t>
            </w:r>
            <w:r w:rsidRPr="00F50B51">
              <w:rPr>
                <w:rFonts w:ascii="宋体" w:eastAsia="宋体" w:hAnsi="宋体" w:cs="宋体"/>
                <w:sz w:val="18"/>
                <w:szCs w:val="18"/>
              </w:rPr>
              <w:t>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损失准备本期变动金额重大的账面余额变动情况</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32" w:name="_Toc989120"/>
      <w:r w:rsidRPr="00F50B51">
        <w:rPr>
          <w:rFonts w:ascii="宋体" w:hAnsi="宋体" w:cs="宋体"/>
          <w:b/>
          <w:bCs/>
        </w:rPr>
        <w:t>15</w:t>
      </w:r>
      <w:r w:rsidRPr="00F50B51">
        <w:rPr>
          <w:rFonts w:ascii="宋体" w:hAnsi="宋体" w:cs="宋体"/>
          <w:b/>
          <w:bCs/>
        </w:rPr>
        <w:t>、其他债权投资</w:t>
      </w:r>
      <w:bookmarkEnd w:id="23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应计利息</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本期公允价值变动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成本</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累计公允价值变动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累计在其他综合收益中确认的损失准备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备注</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重要的其他债权投资</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其他债权项目</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面值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票面利率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实际利率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到期日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面值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票面利率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实际利率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到期日</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减值准备计提情况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r>
      <w:tr w:rsidR="0058782B" w:rsidRPr="00F50B5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未来</w:t>
            </w:r>
            <w:r w:rsidRPr="00F50B51">
              <w:rPr>
                <w:rFonts w:ascii="宋体" w:eastAsia="宋体" w:hAnsi="宋体" w:cs="宋体"/>
                <w:sz w:val="18"/>
                <w:szCs w:val="18"/>
              </w:rPr>
              <w:t>12</w:t>
            </w:r>
            <w:r w:rsidRPr="00F50B51">
              <w:rPr>
                <w:rFonts w:ascii="宋体" w:eastAsia="宋体" w:hAnsi="宋体" w:cs="宋体"/>
                <w:sz w:val="18"/>
                <w:szCs w:val="18"/>
              </w:rPr>
              <w:t>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整个存续期预期信用损失</w:t>
            </w:r>
            <w:r w:rsidRPr="00F50B51">
              <w:rPr>
                <w:rFonts w:ascii="宋体" w:eastAsia="宋体" w:hAnsi="宋体" w:cs="宋体"/>
                <w:sz w:val="18"/>
                <w:szCs w:val="18"/>
              </w:rPr>
              <w:t>(</w:t>
            </w:r>
            <w:r w:rsidRPr="00F50B51">
              <w:rPr>
                <w:rFonts w:ascii="宋体" w:eastAsia="宋体" w:hAnsi="宋体" w:cs="宋体"/>
                <w:sz w:val="18"/>
                <w:szCs w:val="18"/>
              </w:rPr>
              <w:t>未发生信用减值</w:t>
            </w:r>
            <w:r w:rsidRPr="00F50B51">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整个存续期预期信用损失</w:t>
            </w:r>
            <w:r w:rsidRPr="00F50B51">
              <w:rPr>
                <w:rFonts w:ascii="宋体" w:eastAsia="宋体" w:hAnsi="宋体" w:cs="宋体"/>
                <w:sz w:val="18"/>
                <w:szCs w:val="18"/>
              </w:rPr>
              <w:t>(</w:t>
            </w:r>
            <w:r w:rsidRPr="00F50B51">
              <w:rPr>
                <w:rFonts w:ascii="宋体" w:eastAsia="宋体" w:hAnsi="宋体" w:cs="宋体"/>
                <w:sz w:val="18"/>
                <w:szCs w:val="18"/>
              </w:rPr>
              <w:t>已发生信用减值</w:t>
            </w:r>
            <w:r w:rsidRPr="00F50B51">
              <w:rPr>
                <w:rFonts w:ascii="宋体" w:eastAsia="宋体" w:hAnsi="宋体" w:cs="宋体"/>
                <w:sz w:val="18"/>
                <w:szCs w:val="18"/>
              </w:rPr>
              <w:t>)</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1</w:t>
            </w:r>
            <w:r w:rsidRPr="00F50B51">
              <w:rPr>
                <w:rFonts w:ascii="宋体" w:eastAsia="宋体" w:hAnsi="宋体" w:cs="宋体"/>
                <w:sz w:val="18"/>
                <w:szCs w:val="18"/>
              </w:rPr>
              <w:t>月</w:t>
            </w:r>
            <w:r w:rsidRPr="00F50B51">
              <w:rPr>
                <w:rFonts w:ascii="宋体" w:eastAsia="宋体" w:hAnsi="宋体" w:cs="宋体"/>
                <w:sz w:val="18"/>
                <w:szCs w:val="18"/>
              </w:rPr>
              <w:t>1</w:t>
            </w:r>
            <w:r w:rsidRPr="00F50B51">
              <w:rPr>
                <w:rFonts w:ascii="宋体" w:eastAsia="宋体" w:hAnsi="宋体" w:cs="宋体"/>
                <w:sz w:val="18"/>
                <w:szCs w:val="18"/>
              </w:rPr>
              <w:t>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损失准备本期变动金额重大的账面余额变动情况</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33" w:name="_Toc989121"/>
      <w:r w:rsidRPr="00F50B51">
        <w:rPr>
          <w:rFonts w:ascii="宋体" w:hAnsi="宋体" w:cs="宋体"/>
          <w:b/>
          <w:bCs/>
        </w:rPr>
        <w:t>16</w:t>
      </w:r>
      <w:r w:rsidRPr="00F50B51">
        <w:rPr>
          <w:rFonts w:ascii="宋体" w:hAnsi="宋体" w:cs="宋体"/>
          <w:b/>
          <w:bCs/>
        </w:rPr>
        <w:t>、长期应收款</w:t>
      </w:r>
      <w:bookmarkEnd w:id="233"/>
    </w:p>
    <w:p w:rsidR="0058782B" w:rsidRPr="00F50B51" w:rsidRDefault="00F80EE7">
      <w:pPr>
        <w:keepNext/>
        <w:keepLines/>
        <w:spacing w:before="300" w:after="300" w:line="280" w:lineRule="exact"/>
        <w:outlineLvl w:val="3"/>
        <w:rPr>
          <w:rFonts w:ascii="宋体" w:eastAsia="宋体" w:hAnsi="宋体" w:cs="宋体"/>
          <w:b/>
          <w:bCs/>
          <w:szCs w:val="21"/>
        </w:rPr>
      </w:pPr>
      <w:bookmarkStart w:id="234" w:name="_Toc989122"/>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长期应收款情况</w:t>
      </w:r>
      <w:bookmarkEnd w:id="23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4"/>
        <w:gridCol w:w="1205"/>
        <w:gridCol w:w="1205"/>
        <w:gridCol w:w="1205"/>
        <w:gridCol w:w="1205"/>
        <w:gridCol w:w="1205"/>
        <w:gridCol w:w="1205"/>
        <w:gridCol w:w="1205"/>
      </w:tblGrid>
      <w:tr w:rsidR="0058782B" w:rsidRPr="00F50B51">
        <w:trPr>
          <w:trHeight w:val="240"/>
        </w:trPr>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615"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615"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折现率区间</w:t>
            </w:r>
          </w:p>
        </w:tc>
      </w:tr>
      <w:tr w:rsidR="0058782B" w:rsidRPr="00F50B51">
        <w:trPr>
          <w:trHeight w:val="240"/>
        </w:trPr>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坏账准备减值情况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r>
      <w:tr w:rsidR="0058782B" w:rsidRPr="00F50B5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未来</w:t>
            </w:r>
            <w:r w:rsidRPr="00F50B51">
              <w:rPr>
                <w:rFonts w:ascii="宋体" w:eastAsia="宋体" w:hAnsi="宋体" w:cs="宋体"/>
                <w:sz w:val="18"/>
                <w:szCs w:val="18"/>
              </w:rPr>
              <w:t>12</w:t>
            </w:r>
            <w:r w:rsidRPr="00F50B51">
              <w:rPr>
                <w:rFonts w:ascii="宋体" w:eastAsia="宋体" w:hAnsi="宋体" w:cs="宋体"/>
                <w:sz w:val="18"/>
                <w:szCs w:val="18"/>
              </w:rPr>
              <w:t>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整个存续期预期信用损失</w:t>
            </w:r>
            <w:r w:rsidRPr="00F50B51">
              <w:rPr>
                <w:rFonts w:ascii="宋体" w:eastAsia="宋体" w:hAnsi="宋体" w:cs="宋体"/>
                <w:sz w:val="18"/>
                <w:szCs w:val="18"/>
              </w:rPr>
              <w:t>(</w:t>
            </w:r>
            <w:r w:rsidRPr="00F50B51">
              <w:rPr>
                <w:rFonts w:ascii="宋体" w:eastAsia="宋体" w:hAnsi="宋体" w:cs="宋体"/>
                <w:sz w:val="18"/>
                <w:szCs w:val="18"/>
              </w:rPr>
              <w:t>未发生信用减值</w:t>
            </w:r>
            <w:r w:rsidRPr="00F50B51">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整个存续期预期信用损失</w:t>
            </w:r>
            <w:r w:rsidRPr="00F50B51">
              <w:rPr>
                <w:rFonts w:ascii="宋体" w:eastAsia="宋体" w:hAnsi="宋体" w:cs="宋体"/>
                <w:sz w:val="18"/>
                <w:szCs w:val="18"/>
              </w:rPr>
              <w:t>(</w:t>
            </w:r>
            <w:r w:rsidRPr="00F50B51">
              <w:rPr>
                <w:rFonts w:ascii="宋体" w:eastAsia="宋体" w:hAnsi="宋体" w:cs="宋体"/>
                <w:sz w:val="18"/>
                <w:szCs w:val="18"/>
              </w:rPr>
              <w:t>已发生信用减值</w:t>
            </w:r>
            <w:r w:rsidRPr="00F50B51">
              <w:rPr>
                <w:rFonts w:ascii="宋体" w:eastAsia="宋体" w:hAnsi="宋体" w:cs="宋体"/>
                <w:sz w:val="18"/>
                <w:szCs w:val="18"/>
              </w:rPr>
              <w:t>)</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1</w:t>
            </w:r>
            <w:r w:rsidRPr="00F50B51">
              <w:rPr>
                <w:rFonts w:ascii="宋体" w:eastAsia="宋体" w:hAnsi="宋体" w:cs="宋体"/>
                <w:sz w:val="18"/>
                <w:szCs w:val="18"/>
              </w:rPr>
              <w:t>月</w:t>
            </w:r>
            <w:r w:rsidRPr="00F50B51">
              <w:rPr>
                <w:rFonts w:ascii="宋体" w:eastAsia="宋体" w:hAnsi="宋体" w:cs="宋体"/>
                <w:sz w:val="18"/>
                <w:szCs w:val="18"/>
              </w:rPr>
              <w:t>1</w:t>
            </w:r>
            <w:r w:rsidRPr="00F50B51">
              <w:rPr>
                <w:rFonts w:ascii="宋体" w:eastAsia="宋体" w:hAnsi="宋体" w:cs="宋体"/>
                <w:sz w:val="18"/>
                <w:szCs w:val="18"/>
              </w:rPr>
              <w:t>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损失准备本期变动金额重大的账面余额变动情况</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235" w:name="_Toc989123"/>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因金融资产转移而终止确认的长期应收款</w:t>
      </w:r>
      <w:bookmarkEnd w:id="235"/>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236" w:name="_Toc989124"/>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转移长期应收款且继续涉入形成的资产、负债金额</w:t>
      </w:r>
      <w:bookmarkEnd w:id="236"/>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37" w:name="_Toc989125"/>
      <w:r w:rsidRPr="00F50B51">
        <w:rPr>
          <w:rFonts w:ascii="宋体" w:hAnsi="宋体" w:cs="宋体"/>
          <w:b/>
          <w:bCs/>
        </w:rPr>
        <w:t>17</w:t>
      </w:r>
      <w:r w:rsidRPr="00F50B51">
        <w:rPr>
          <w:rFonts w:ascii="宋体" w:hAnsi="宋体" w:cs="宋体"/>
          <w:b/>
          <w:bCs/>
        </w:rPr>
        <w:t>、长期股权投资</w:t>
      </w:r>
      <w:bookmarkEnd w:id="23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03"/>
        <w:gridCol w:w="803"/>
        <w:gridCol w:w="803"/>
        <w:gridCol w:w="803"/>
        <w:gridCol w:w="803"/>
        <w:gridCol w:w="803"/>
        <w:gridCol w:w="803"/>
        <w:gridCol w:w="803"/>
        <w:gridCol w:w="803"/>
        <w:gridCol w:w="805"/>
        <w:gridCol w:w="803"/>
        <w:gridCol w:w="804"/>
      </w:tblGrid>
      <w:tr w:rsidR="0058782B" w:rsidRPr="00F50B51">
        <w:trPr>
          <w:trHeight w:val="240"/>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被投资单位</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期初余额（账面价值）</w:t>
            </w:r>
          </w:p>
        </w:tc>
        <w:tc>
          <w:tcPr>
            <w:tcW w:w="6426"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本期增减变动</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期末余额（账面价值）</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减值准备期末余额</w:t>
            </w:r>
          </w:p>
        </w:tc>
      </w:tr>
      <w:tr w:rsidR="0058782B" w:rsidRPr="00F50B51">
        <w:trPr>
          <w:trHeight w:val="240"/>
        </w:trPr>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追加投资</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减少投资</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权益法下确认的投资损益</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其他综合收益调整</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其他权益变动</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宣告发放现金股利或利润</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计提减值准备</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一、合营企业</w:t>
            </w:r>
          </w:p>
        </w:tc>
      </w:tr>
      <w:tr w:rsidR="0058782B" w:rsidRPr="00F50B51">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二、联营企业</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38" w:name="_Toc989126"/>
      <w:r w:rsidRPr="00F50B51">
        <w:rPr>
          <w:rFonts w:ascii="宋体" w:hAnsi="宋体" w:cs="宋体"/>
          <w:b/>
          <w:bCs/>
        </w:rPr>
        <w:t>18</w:t>
      </w:r>
      <w:r w:rsidRPr="00F50B51">
        <w:rPr>
          <w:rFonts w:ascii="宋体" w:hAnsi="宋体" w:cs="宋体"/>
          <w:b/>
          <w:bCs/>
        </w:rPr>
        <w:t>、其他权益工具投资</w:t>
      </w:r>
      <w:bookmarkEnd w:id="238"/>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非交易性权益工具投资</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13,763,490.85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13,763,490.85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13,763,490.85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13,763,490.85</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分项披露本期非交易性权益工具投资</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确认的股利收入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累计利得</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累计损失</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其他综合收益转入留存收益的金额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指定为以公允价值计量且其变动计入其他综合收益的原因</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其他综合收益转入留存收益的原因</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潮安县兆丰小额贷款股份有限公司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2,693,916.59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广州民营投资股份有限公司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F80EE7">
      <w:pPr>
        <w:pStyle w:val="a7"/>
        <w:spacing w:before="0" w:beforeAutospacing="0" w:after="0" w:afterAutospacing="0"/>
        <w:rPr>
          <w:sz w:val="18"/>
          <w:szCs w:val="18"/>
        </w:rPr>
      </w:pPr>
      <w:r w:rsidRPr="00F50B51">
        <w:rPr>
          <w:rFonts w:hint="eastAsia"/>
          <w:sz w:val="18"/>
          <w:szCs w:val="18"/>
        </w:rPr>
        <w:t>潮安县兆丰小额贷款股份有限公司以前年度分红累计利得共</w:t>
      </w:r>
      <w:r w:rsidRPr="00F50B51">
        <w:rPr>
          <w:rFonts w:ascii="Times New Roman" w:hAnsi="Times New Roman" w:cs="Times New Roman"/>
          <w:sz w:val="18"/>
          <w:szCs w:val="18"/>
        </w:rPr>
        <w:t>2,693,916.59</w:t>
      </w:r>
      <w:r w:rsidRPr="00F50B51">
        <w:rPr>
          <w:rFonts w:hint="eastAsia"/>
          <w:sz w:val="18"/>
          <w:szCs w:val="18"/>
        </w:rPr>
        <w:t>元。</w:t>
      </w:r>
    </w:p>
    <w:p w:rsidR="0058782B" w:rsidRPr="00F50B51" w:rsidRDefault="00F80EE7">
      <w:pPr>
        <w:pStyle w:val="3"/>
        <w:spacing w:line="280" w:lineRule="exact"/>
        <w:jc w:val="left"/>
        <w:rPr>
          <w:rFonts w:ascii="宋体" w:hAnsi="宋体" w:cs="宋体"/>
          <w:b/>
          <w:bCs/>
        </w:rPr>
      </w:pPr>
      <w:bookmarkStart w:id="239" w:name="_Toc989127"/>
      <w:r w:rsidRPr="00F50B51">
        <w:rPr>
          <w:rFonts w:ascii="宋体" w:hAnsi="宋体" w:cs="宋体"/>
          <w:b/>
          <w:bCs/>
        </w:rPr>
        <w:t>19</w:t>
      </w:r>
      <w:r w:rsidRPr="00F50B51">
        <w:rPr>
          <w:rFonts w:ascii="宋体" w:hAnsi="宋体" w:cs="宋体"/>
          <w:b/>
          <w:bCs/>
        </w:rPr>
        <w:t>、其他非流动金融资产</w:t>
      </w:r>
      <w:bookmarkEnd w:id="23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40" w:name="_Toc989128"/>
      <w:r w:rsidRPr="00F50B51">
        <w:rPr>
          <w:rFonts w:ascii="宋体" w:hAnsi="宋体" w:cs="宋体"/>
          <w:b/>
          <w:bCs/>
        </w:rPr>
        <w:t>20</w:t>
      </w:r>
      <w:r w:rsidRPr="00F50B51">
        <w:rPr>
          <w:rFonts w:ascii="宋体" w:hAnsi="宋体" w:cs="宋体"/>
          <w:b/>
          <w:bCs/>
        </w:rPr>
        <w:t>、投资性房地产</w:t>
      </w:r>
      <w:bookmarkEnd w:id="240"/>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241" w:name="_Toc989129"/>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采用成本计量模式的投资性房地产</w:t>
      </w:r>
      <w:bookmarkEnd w:id="241"/>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242" w:name="_Toc989130"/>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采用公允价值计量模式的投资性房地产</w:t>
      </w:r>
      <w:bookmarkEnd w:id="242"/>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243" w:name="_Toc989131"/>
      <w:r w:rsidRPr="00F50B51">
        <w:rPr>
          <w:rFonts w:ascii="宋体" w:eastAsia="宋体" w:hAnsi="宋体" w:cs="宋体"/>
          <w:b/>
          <w:bCs/>
          <w:sz w:val="18"/>
          <w:szCs w:val="18"/>
        </w:rPr>
        <w:t>（</w:t>
      </w:r>
      <w:r w:rsidRPr="00F50B51">
        <w:rPr>
          <w:rFonts w:ascii="宋体" w:eastAsia="宋体" w:hAnsi="宋体" w:cs="宋体"/>
          <w:b/>
          <w:bCs/>
          <w:sz w:val="18"/>
          <w:szCs w:val="18"/>
        </w:rPr>
        <w:t>3</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未办妥产权证书的投资性房地产情况</w:t>
      </w:r>
      <w:bookmarkEnd w:id="24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未办妥产权证书原因</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44" w:name="_Toc989132"/>
      <w:r w:rsidRPr="00F50B51">
        <w:rPr>
          <w:rFonts w:ascii="宋体" w:hAnsi="宋体" w:cs="宋体"/>
          <w:b/>
          <w:bCs/>
        </w:rPr>
        <w:t>21</w:t>
      </w:r>
      <w:r w:rsidRPr="00F50B51">
        <w:rPr>
          <w:rFonts w:ascii="宋体" w:hAnsi="宋体" w:cs="宋体"/>
          <w:b/>
          <w:bCs/>
        </w:rPr>
        <w:t>、固定资产</w:t>
      </w:r>
      <w:bookmarkEnd w:id="24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728,284,334.43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721,433,903.07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728,284,334.43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721,433,903.07</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45" w:name="_Toc989133"/>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固定资产情况</w:t>
      </w:r>
      <w:bookmarkEnd w:id="24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房屋建筑物</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机器设备</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运输设备</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办公设备</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一、账面原值：</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373,260,395.65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537,994,445.08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20,336,410.00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28,528,984.35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960,120,235.08</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本期增加金额</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14,759,278.88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32,585,279.49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1,495,132.73</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161,406.52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49,001,097.62</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）购置</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2,888,124.06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3,924,813.10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1,474,778.75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157,778.20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8,445,494.11</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2</w:t>
            </w:r>
            <w:r w:rsidRPr="00F50B51">
              <w:rPr>
                <w:rFonts w:ascii="宋体" w:eastAsia="宋体" w:hAnsi="宋体" w:cs="宋体"/>
                <w:sz w:val="18"/>
                <w:szCs w:val="18"/>
              </w:rPr>
              <w:t>）在建工程转入</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11,871,154.82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28,660,466.39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20,353.98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3,628.32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40,555,603.51</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3</w:t>
            </w:r>
            <w:r w:rsidRPr="00F50B51">
              <w:rPr>
                <w:rFonts w:ascii="宋体" w:eastAsia="宋体" w:hAnsi="宋体" w:cs="宋体"/>
                <w:sz w:val="18"/>
                <w:szCs w:val="18"/>
              </w:rPr>
              <w:t>）企业合并增加</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本期减少金额</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64,150.18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7,295,323.37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26,447.79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7,455,921.34</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）处置或报废</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64,150.18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7,295,323.37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26,447.79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7,455,921.34</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387,955,524.35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563,284,401.20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21,761,542.73</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28,663,943.08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1,001,665,411.36</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二、累计折旧</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55,188,337.50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161,003,018.58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11,951,597.32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10,543,378.61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238,686,332.01</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本期增加金额</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8,283,294.91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26,147,829.07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1,046,926.55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1,559,719.05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37,037,769.58</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）计提</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8,283,294.91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26,147,829.07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1,046,926.55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1,559,719.05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37,037,769.58</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本期减少金额</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19,493.53</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2,230,021.46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23,509.67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2,343,024.66</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）处置或报废</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19,493.53</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2,230,021.46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23,509.67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2,343,024.66</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63,452,138.88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184,920,826.19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12,928,523.87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12,079,587.99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273,381,076.93</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三、减值准备</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本期增加金额</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）计提</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本期减少金额</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）处置或报废</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四、账面价值</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期末账面价值</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324,503,385.47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378,363,575.01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8,833,018.86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16,584,355.09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728,284,334.43</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期初账面价值</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318,072,058.15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376,991,426.50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8,384,812.68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17,985,605.74</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721,433,903.07</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46" w:name="_Toc989134"/>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暂时闲置的固定资产情况</w:t>
      </w:r>
      <w:bookmarkEnd w:id="24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账面原值</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累计折旧</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备注</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47" w:name="_Toc989135"/>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通过经营租赁租出的固定资产</w:t>
      </w:r>
      <w:bookmarkEnd w:id="24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期末账面价值</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48" w:name="_Toc989136"/>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未办妥产权证书的固定资产情况</w:t>
      </w:r>
      <w:bookmarkEnd w:id="248"/>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未办妥产权证书的原因</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综合大楼</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18,191,941.87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正在办理中</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新蓝钨车间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1,576,730.95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正在办理中</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翔宇车间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395,510.30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正在办理中</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制氢车间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127,872.68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正在办理中</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249" w:name="_Toc989137"/>
      <w:r w:rsidRPr="00F50B51">
        <w:rPr>
          <w:rFonts w:ascii="宋体" w:eastAsia="宋体" w:hAnsi="宋体" w:cs="宋体"/>
          <w:b/>
          <w:bCs/>
          <w:szCs w:val="21"/>
        </w:rPr>
        <w:t>（</w:t>
      </w:r>
      <w:r w:rsidRPr="00F50B51">
        <w:rPr>
          <w:rFonts w:ascii="宋体" w:eastAsia="宋体" w:hAnsi="宋体" w:cs="宋体"/>
          <w:b/>
          <w:bCs/>
          <w:szCs w:val="21"/>
        </w:rPr>
        <w:t>5</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固定资产清理</w:t>
      </w:r>
      <w:bookmarkEnd w:id="24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50" w:name="_Toc989138"/>
      <w:r w:rsidRPr="00F50B51">
        <w:rPr>
          <w:rFonts w:ascii="宋体" w:hAnsi="宋体" w:cs="宋体"/>
          <w:b/>
          <w:bCs/>
        </w:rPr>
        <w:t>22</w:t>
      </w:r>
      <w:r w:rsidRPr="00F50B51">
        <w:rPr>
          <w:rFonts w:ascii="宋体" w:hAnsi="宋体" w:cs="宋体"/>
          <w:b/>
          <w:bCs/>
        </w:rPr>
        <w:t>、在建工程</w:t>
      </w:r>
      <w:bookmarkEnd w:id="25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33,793,646.43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55,182,370.50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工程物资</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227,772.95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227,772.95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34,021,419.38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55,410,143.45</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51" w:name="_Toc989139"/>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在建工程情况</w:t>
      </w:r>
      <w:bookmarkEnd w:id="25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径南工业区基础工程</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24,973,150.51</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24,973,150.51</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年产</w:t>
            </w:r>
            <w:r w:rsidRPr="00F50B51">
              <w:rPr>
                <w:rFonts w:ascii="宋体" w:eastAsia="宋体" w:hAnsi="宋体" w:cs="宋体"/>
                <w:sz w:val="18"/>
                <w:szCs w:val="18"/>
              </w:rPr>
              <w:t>800t</w:t>
            </w:r>
            <w:r w:rsidRPr="00F50B51">
              <w:rPr>
                <w:rFonts w:ascii="宋体" w:eastAsia="宋体" w:hAnsi="宋体" w:cs="宋体"/>
                <w:sz w:val="18"/>
                <w:szCs w:val="18"/>
              </w:rPr>
              <w:t>特种超硬质合金智能化生产项目</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18,129,068.60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18,129,068.60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8,000,771.95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8,000,771.95</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广东翔鹭设备技改工程</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415,690.26</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415,690.26</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465,980.46</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465,980.46</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广东翔鹭生产一部氨回收工程</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242,614.15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242,614.15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288,980.12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288,980.12</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广东翔鹭生产一部项目工程</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410,641.93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410,641.93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481,533.52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481,533.52</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江西翔鹭钨业有限公司基建工程</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9,938,498.83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9,938,498.83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16,762,281.84</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16,762,281.84</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大余隆鑫泰矿业有限公司窿道工程</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4,573,815.83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4,573,815.83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4,209,672.10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4,209,672.10</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海德材料消防工程</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83,316.83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83,316.83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33,793,646.43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33,793,646.43</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55,182,370.50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55,182,370.50</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52" w:name="_Toc989140"/>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重要在建工程项目本期变动情况</w:t>
      </w:r>
      <w:bookmarkEnd w:id="25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42"/>
        <w:gridCol w:w="742"/>
        <w:gridCol w:w="742"/>
        <w:gridCol w:w="742"/>
        <w:gridCol w:w="742"/>
        <w:gridCol w:w="742"/>
        <w:gridCol w:w="741"/>
        <w:gridCol w:w="741"/>
        <w:gridCol w:w="741"/>
        <w:gridCol w:w="741"/>
        <w:gridCol w:w="741"/>
        <w:gridCol w:w="741"/>
        <w:gridCol w:w="741"/>
      </w:tblGrid>
      <w:tr w:rsidR="0058782B" w:rsidRPr="00F50B51">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项目名称</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预算数</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本期转入固定资产金额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本期其他减少金额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工程累计投入占预算比例</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工程进度</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利息资本化累计金额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其中：本期利息资本化金额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本期利息资本化率</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资金来源</w:t>
            </w:r>
          </w:p>
        </w:tc>
      </w:tr>
      <w:tr w:rsidR="0058782B" w:rsidRPr="00F50B51">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径南工业区基础工程</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60,000,000.00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24,973,150.51</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1,744,125.85</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26,717,276.36</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96.86%</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95%</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15,655,935.13</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募股资金</w:t>
            </w:r>
          </w:p>
        </w:tc>
      </w:tr>
      <w:tr w:rsidR="0058782B" w:rsidRPr="00F50B51">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年产</w:t>
            </w:r>
            <w:r w:rsidRPr="00F50B51">
              <w:rPr>
                <w:rFonts w:ascii="宋体" w:eastAsia="宋体" w:hAnsi="宋体" w:cs="宋体"/>
                <w:sz w:val="18"/>
                <w:szCs w:val="18"/>
              </w:rPr>
              <w:t>800t</w:t>
            </w:r>
            <w:r w:rsidRPr="00F50B51">
              <w:rPr>
                <w:rFonts w:ascii="宋体" w:eastAsia="宋体" w:hAnsi="宋体" w:cs="宋体"/>
                <w:sz w:val="18"/>
                <w:szCs w:val="18"/>
              </w:rPr>
              <w:t>特种超硬质合金智能化生产项目</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151,922,300.00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8,000,771.95</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11,594,917.50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1,466,620.85</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18,129,068.60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45.07%</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45%</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2,368,898.73</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2,368,898.73</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7.65%</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募股资金</w:t>
            </w:r>
          </w:p>
        </w:tc>
      </w:tr>
      <w:tr w:rsidR="0058782B" w:rsidRPr="00F50B51">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广东翔鹭设备技改工程</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7,000,000.00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465,980.46</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295,336.28</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345,626.48</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415,690.26</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14.22%</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15%</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r>
      <w:tr w:rsidR="0058782B" w:rsidRPr="00F50B51">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广东翔鹭生产一部氨回收工程</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8,000,000.00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288,980.12</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3,667,355.45</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3,713,721.42</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242,614.15</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125.84%</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100%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r>
      <w:tr w:rsidR="0058782B" w:rsidRPr="00F50B51">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广东翔鹭生产一部项目工程</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3,000,000.00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481,533.52</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171,542.04</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242,433.63</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410,641.93</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44.72%</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45%</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r>
      <w:tr w:rsidR="0058782B" w:rsidRPr="00F50B51">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江西翔鹭钨业有限公司基建工程</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45,000,000.00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16,762,281.84</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1,375,862.91</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8,069,924.77</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129,721.15</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9,938,498.83</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99.06%</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98%</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304,441.67</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r>
      <w:tr w:rsidR="0058782B" w:rsidRPr="00F50B51">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大余隆鑫泰矿业有限公司窿道工程</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15,000,000.00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4,209,672.10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364,143.73</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4,573,815.83</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70.43%</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72%</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r>
      <w:tr w:rsidR="0058782B" w:rsidRPr="00F50B51">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海德材料消防工程</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173,000.00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83,316.83</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83,316.83</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48.16%</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50%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r>
      <w:tr w:rsidR="0058782B" w:rsidRPr="00F50B51">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290,095,300.00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55,182,370.50</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19,296,600.59</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40,555,603.51</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129,721.15</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33,793,646.43</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18,329,275.53</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2,368,898.73</w:t>
            </w:r>
          </w:p>
        </w:tc>
        <w:tc>
          <w:tcPr>
            <w:tcW w:w="74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53" w:name="_Toc989141"/>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本期计提在建工程减值准备情况</w:t>
      </w:r>
      <w:bookmarkEnd w:id="25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本期计提金额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计提原因</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254" w:name="_Toc989142"/>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工程物资</w:t>
      </w:r>
      <w:bookmarkEnd w:id="25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工程物资</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227,772.95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227,772.95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227,772.95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227,772.95</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227,772.95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227,772.95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227,772.95</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227,772.95</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55" w:name="_Toc989143"/>
      <w:r w:rsidRPr="00F50B51">
        <w:rPr>
          <w:rFonts w:ascii="宋体" w:hAnsi="宋体" w:cs="宋体"/>
          <w:b/>
          <w:bCs/>
        </w:rPr>
        <w:t>23</w:t>
      </w:r>
      <w:r w:rsidRPr="00F50B51">
        <w:rPr>
          <w:rFonts w:ascii="宋体" w:hAnsi="宋体" w:cs="宋体"/>
          <w:b/>
          <w:bCs/>
        </w:rPr>
        <w:t>、生产性生物资产</w:t>
      </w:r>
      <w:bookmarkEnd w:id="255"/>
    </w:p>
    <w:p w:rsidR="0058782B" w:rsidRPr="00F50B51" w:rsidRDefault="00F80EE7">
      <w:pPr>
        <w:keepNext/>
        <w:keepLines/>
        <w:spacing w:before="300" w:after="300" w:line="280" w:lineRule="exact"/>
        <w:outlineLvl w:val="3"/>
        <w:rPr>
          <w:rFonts w:ascii="宋体" w:eastAsia="宋体" w:hAnsi="宋体" w:cs="宋体"/>
          <w:b/>
          <w:bCs/>
          <w:szCs w:val="21"/>
        </w:rPr>
      </w:pPr>
      <w:bookmarkStart w:id="256" w:name="_Toc989144"/>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采用成本计量模式的生产性生物资产</w:t>
      </w:r>
      <w:bookmarkEnd w:id="256"/>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keepNext/>
        <w:keepLines/>
        <w:spacing w:before="300" w:after="300" w:line="280" w:lineRule="exact"/>
        <w:outlineLvl w:val="3"/>
        <w:rPr>
          <w:rFonts w:ascii="宋体" w:eastAsia="宋体" w:hAnsi="宋体" w:cs="宋体"/>
          <w:b/>
          <w:bCs/>
          <w:szCs w:val="21"/>
        </w:rPr>
      </w:pPr>
      <w:bookmarkStart w:id="257" w:name="_Toc989145"/>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采用公允价值计量模式的生产性生物资产</w:t>
      </w:r>
      <w:bookmarkEnd w:id="257"/>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3"/>
        <w:spacing w:line="280" w:lineRule="exact"/>
        <w:jc w:val="left"/>
        <w:rPr>
          <w:rFonts w:ascii="宋体" w:hAnsi="宋体" w:cs="宋体"/>
          <w:b/>
          <w:bCs/>
        </w:rPr>
      </w:pPr>
      <w:bookmarkStart w:id="258" w:name="_Toc989146"/>
      <w:r w:rsidRPr="00F50B51">
        <w:rPr>
          <w:rFonts w:ascii="宋体" w:hAnsi="宋体" w:cs="宋体"/>
          <w:b/>
          <w:bCs/>
        </w:rPr>
        <w:t>24</w:t>
      </w:r>
      <w:r w:rsidRPr="00F50B51">
        <w:rPr>
          <w:rFonts w:ascii="宋体" w:hAnsi="宋体" w:cs="宋体"/>
          <w:b/>
          <w:bCs/>
        </w:rPr>
        <w:t>、油气资产</w:t>
      </w:r>
      <w:bookmarkEnd w:id="258"/>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3"/>
        <w:spacing w:line="280" w:lineRule="exact"/>
        <w:jc w:val="left"/>
        <w:rPr>
          <w:rFonts w:ascii="宋体" w:hAnsi="宋体" w:cs="宋体"/>
          <w:b/>
          <w:bCs/>
        </w:rPr>
      </w:pPr>
      <w:bookmarkStart w:id="259" w:name="_Toc989147"/>
      <w:r w:rsidRPr="00F50B51">
        <w:rPr>
          <w:rFonts w:ascii="宋体" w:hAnsi="宋体" w:cs="宋体"/>
          <w:b/>
          <w:bCs/>
        </w:rPr>
        <w:t>25</w:t>
      </w:r>
      <w:r w:rsidRPr="00F50B51">
        <w:rPr>
          <w:rFonts w:ascii="宋体" w:hAnsi="宋体" w:cs="宋体"/>
          <w:b/>
          <w:bCs/>
        </w:rPr>
        <w:t>、使用权资产</w:t>
      </w:r>
      <w:bookmarkEnd w:id="25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房屋建筑物</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一、账面原值</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期初余额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1,716,255.33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1,716,255.33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本期增加金额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本期减少金额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1,716,255.33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1,716,255.33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二、累计折旧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期初余额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1,029,753.20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1,029,753.20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本期增加金额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514,876.61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514,876.61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）计提</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514,876.61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514,876.61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本期减少金额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）处置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1,544,629.81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1,544,629.81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三、减值准备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期初余额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本期增加金额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）计提</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本期减少金额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）处置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四、账面价值</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期末账面价值</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171,625.52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171,625.52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期初账面价值</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686,502.13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686,502.13</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60" w:name="_Toc989148"/>
      <w:r w:rsidRPr="00F50B51">
        <w:rPr>
          <w:rFonts w:ascii="宋体" w:hAnsi="宋体" w:cs="宋体"/>
          <w:b/>
          <w:bCs/>
        </w:rPr>
        <w:t>26</w:t>
      </w:r>
      <w:r w:rsidRPr="00F50B51">
        <w:rPr>
          <w:rFonts w:ascii="宋体" w:hAnsi="宋体" w:cs="宋体"/>
          <w:b/>
          <w:bCs/>
        </w:rPr>
        <w:t>、无形资产</w:t>
      </w:r>
      <w:bookmarkEnd w:id="260"/>
    </w:p>
    <w:p w:rsidR="0058782B" w:rsidRPr="00F50B51" w:rsidRDefault="00F80EE7">
      <w:pPr>
        <w:keepNext/>
        <w:keepLines/>
        <w:spacing w:before="300" w:after="300" w:line="280" w:lineRule="exact"/>
        <w:outlineLvl w:val="3"/>
        <w:rPr>
          <w:rFonts w:ascii="宋体" w:eastAsia="宋体" w:hAnsi="宋体" w:cs="宋体"/>
          <w:b/>
          <w:bCs/>
          <w:szCs w:val="21"/>
        </w:rPr>
      </w:pPr>
      <w:bookmarkStart w:id="261" w:name="_Toc989149"/>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无形资产情况</w:t>
      </w:r>
      <w:bookmarkEnd w:id="26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4"/>
        <w:gridCol w:w="1205"/>
        <w:gridCol w:w="1205"/>
        <w:gridCol w:w="1205"/>
        <w:gridCol w:w="1205"/>
        <w:gridCol w:w="1205"/>
        <w:gridCol w:w="1205"/>
        <w:gridCol w:w="1205"/>
      </w:tblGrid>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土地使用权</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专利权</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非专利技术</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采矿权</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软件</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center"/>
              <w:rPr>
                <w:rFonts w:ascii="宋体" w:eastAsia="宋体" w:hAnsi="宋体" w:cs="宋体"/>
                <w:sz w:val="18"/>
                <w:szCs w:val="18"/>
              </w:rPr>
            </w:pPr>
            <w:r w:rsidRPr="00F50B51">
              <w:rPr>
                <w:rFonts w:ascii="宋体" w:eastAsia="宋体" w:hAnsi="宋体" w:cs="宋体"/>
                <w:sz w:val="18"/>
                <w:szCs w:val="18"/>
              </w:rPr>
              <w:t>勘探开发成本</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一、账面原值</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期初余额</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74,762,920.51</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195,116.76</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51,761,415.09</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3,945,723.11</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2,824,336.85</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133,489,512.32</w:t>
            </w: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本期增加金额</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129,721.15</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129,721.15</w:t>
            </w: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）购置</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129,721.15</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129,721.15</w:t>
            </w: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2</w:t>
            </w:r>
            <w:r w:rsidRPr="00F50B51">
              <w:rPr>
                <w:rFonts w:ascii="宋体" w:eastAsia="宋体" w:hAnsi="宋体" w:cs="宋体"/>
                <w:sz w:val="18"/>
                <w:szCs w:val="18"/>
              </w:rPr>
              <w:t>）内部研发</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3</w:t>
            </w:r>
            <w:r w:rsidRPr="00F50B51">
              <w:rPr>
                <w:rFonts w:ascii="宋体" w:eastAsia="宋体" w:hAnsi="宋体" w:cs="宋体"/>
                <w:sz w:val="18"/>
                <w:szCs w:val="18"/>
              </w:rPr>
              <w:t>）企业合并增加</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本期减少金额</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）处置</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期末余额</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74,762,920.51</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195,116.76</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51,761,415.09</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4,075,444.26</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2,824,336.85</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133,619,233.47</w:t>
            </w: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二、累计摊销</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期初余额</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8,973,992.25</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82,031.23</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5,455,460.25</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2,172,607.02</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805,422.06</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17,489,512.81</w:t>
            </w: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本期增加金额</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766,027.86</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6,230.22</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267,291.44</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230,274.96</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141,216.84</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1,411,041.32</w:t>
            </w: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）计提</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766,027.86</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6,230.22</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267,291.44</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230,274.96</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141,216.84</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1,411,041.32</w:t>
            </w: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本期减少金额</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）处置</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期末余额</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9,740,020.11</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88,261.45</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5,722,751.69</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2,402,881.98</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946,638.90</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18,900,554.13</w:t>
            </w: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三、减值准备</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期初余额</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本期增加金额</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）计提</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本期减少金额</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400" w:firstLine="720"/>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）处置</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期末余额</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四、账面价值</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期末账面价值</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65,022,900.40</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106,855.31</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46,038,663.40</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1,672,562.28</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1,877,697.95</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114,718,679.34</w:t>
            </w: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期初账面价值</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65,788,928.26</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113,085.53</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46,305,954.84</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1,773,116.09</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2,018,914.79</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115,999,999.51</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本期末通过公司内部研发形成的无形资产占无形资产余额的比例</w:t>
      </w:r>
    </w:p>
    <w:p w:rsidR="0058782B" w:rsidRPr="00F50B51" w:rsidRDefault="00F80EE7">
      <w:pPr>
        <w:keepNext/>
        <w:keepLines/>
        <w:spacing w:before="300" w:after="300" w:line="280" w:lineRule="exact"/>
        <w:outlineLvl w:val="3"/>
        <w:rPr>
          <w:rFonts w:ascii="宋体" w:eastAsia="宋体" w:hAnsi="宋体" w:cs="宋体"/>
          <w:b/>
          <w:bCs/>
          <w:szCs w:val="21"/>
        </w:rPr>
      </w:pPr>
      <w:bookmarkStart w:id="262" w:name="_Toc989150"/>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未办妥产权证书的土地使用权情况</w:t>
      </w:r>
      <w:bookmarkEnd w:id="26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未办妥产权证书的原因</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63" w:name="_Toc989151"/>
      <w:r w:rsidRPr="00F50B51">
        <w:rPr>
          <w:rFonts w:ascii="宋体" w:hAnsi="宋体" w:cs="宋体"/>
          <w:b/>
          <w:bCs/>
        </w:rPr>
        <w:t>27</w:t>
      </w:r>
      <w:r w:rsidRPr="00F50B51">
        <w:rPr>
          <w:rFonts w:ascii="宋体" w:hAnsi="宋体" w:cs="宋体"/>
          <w:b/>
          <w:bCs/>
        </w:rPr>
        <w:t>、开发支出</w:t>
      </w:r>
      <w:bookmarkEnd w:id="26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3213"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本期增加金额</w:t>
            </w:r>
          </w:p>
        </w:tc>
        <w:tc>
          <w:tcPr>
            <w:tcW w:w="3213"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本期减少金额</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内部开发支出</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确认为无形资产</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转入当期损益</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64" w:name="_Toc989152"/>
      <w:r w:rsidRPr="00F50B51">
        <w:rPr>
          <w:rFonts w:ascii="宋体" w:hAnsi="宋体" w:cs="宋体"/>
          <w:b/>
          <w:bCs/>
        </w:rPr>
        <w:t>28</w:t>
      </w:r>
      <w:r w:rsidRPr="00F50B51">
        <w:rPr>
          <w:rFonts w:ascii="宋体" w:hAnsi="宋体" w:cs="宋体"/>
          <w:b/>
          <w:bCs/>
        </w:rPr>
        <w:t>、商誉</w:t>
      </w:r>
      <w:bookmarkEnd w:id="264"/>
    </w:p>
    <w:p w:rsidR="0058782B" w:rsidRPr="00F50B51" w:rsidRDefault="00F80EE7">
      <w:pPr>
        <w:keepNext/>
        <w:keepLines/>
        <w:spacing w:before="300" w:after="300" w:line="280" w:lineRule="exact"/>
        <w:outlineLvl w:val="3"/>
        <w:rPr>
          <w:rFonts w:ascii="宋体" w:eastAsia="宋体" w:hAnsi="宋体" w:cs="宋体"/>
          <w:b/>
          <w:bCs/>
          <w:szCs w:val="21"/>
        </w:rPr>
      </w:pPr>
      <w:bookmarkStart w:id="265" w:name="_Toc989153"/>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商誉账面原值</w:t>
      </w:r>
      <w:bookmarkEnd w:id="26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被投资单位名称或形成商誉的事项</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被投资单位名称或形成商誉的事项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企业合并形成的</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处置</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49,212,998.16</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49,212,998.16</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东莞市翔鹭精密工具有限公司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156,894.37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156,894.37</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大余县新城海德材料有限公司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10,876.04</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10,876.04</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49,380,768.57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49,380,768.57</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66" w:name="_Toc989154"/>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商誉减值准备</w:t>
      </w:r>
      <w:bookmarkEnd w:id="26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被投资单位名称或形成商誉的事项</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被投资单位名称或形成商誉的事项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处置</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2,322,795.00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2,322,795.00</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东莞市翔鹭精密工具有限公司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156,894.37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156,894.37</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大余县新城海德材料有限公司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2,479,689.37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2,479,689.37</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商誉所在资产组或资产组组合的相关信息</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说明商誉减值测试过程、关键参数（如预计未来现金流量现值时的预测期增长率、稳定期增长率、利润率、折现率、预测期等）及商誉减值损失的确认方法：</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商誉减值测试的影响</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67" w:name="_Toc989155"/>
      <w:r w:rsidRPr="00F50B51">
        <w:rPr>
          <w:rFonts w:ascii="宋体" w:hAnsi="宋体" w:cs="宋体"/>
          <w:b/>
          <w:bCs/>
        </w:rPr>
        <w:t>29</w:t>
      </w:r>
      <w:r w:rsidRPr="00F50B51">
        <w:rPr>
          <w:rFonts w:ascii="宋体" w:hAnsi="宋体" w:cs="宋体"/>
          <w:b/>
          <w:bCs/>
        </w:rPr>
        <w:t>、长期待摊费用</w:t>
      </w:r>
      <w:bookmarkEnd w:id="26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本期摊销金额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其他减少金额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江西翔鹭绿化项目</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4,943,950.15</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302,690.82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4,641,259.33</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径南工业区厂区装修项目</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5,814,874.09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679,116.08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5,135,758.01</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零碎工程</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3,939,577.57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557,256.42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3,382,321.15</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江西厂区装修项目</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410,811.72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52,444.08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358,367.64</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东莞厂房装修项目</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363,982.41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272,986.44</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90,995.97</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机房基建工程</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559,577.76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146,932.98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412,644.78</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广东翔鹭厂区装修项目</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1,866,387.46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153,575.58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1,712,811.88</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铁苍寨承包费</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284,641.87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5,524.98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279,116.89</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18,183,803.03</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2,170,527.38</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16,013,275.65</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68" w:name="_Toc989156"/>
      <w:r w:rsidRPr="00F50B51">
        <w:rPr>
          <w:rFonts w:ascii="宋体" w:hAnsi="宋体" w:cs="宋体"/>
          <w:b/>
          <w:bCs/>
        </w:rPr>
        <w:t>30</w:t>
      </w:r>
      <w:r w:rsidRPr="00F50B51">
        <w:rPr>
          <w:rFonts w:ascii="宋体" w:hAnsi="宋体" w:cs="宋体"/>
          <w:b/>
          <w:bCs/>
        </w:rPr>
        <w:t>、递延所得税资产</w:t>
      </w:r>
      <w:r w:rsidRPr="00F50B51">
        <w:rPr>
          <w:rFonts w:ascii="宋体" w:hAnsi="宋体" w:cs="宋体"/>
          <w:b/>
          <w:bCs/>
        </w:rPr>
        <w:t>/</w:t>
      </w:r>
      <w:r w:rsidRPr="00F50B51">
        <w:rPr>
          <w:rFonts w:ascii="宋体" w:hAnsi="宋体" w:cs="宋体"/>
          <w:b/>
          <w:bCs/>
        </w:rPr>
        <w:t>递延所得税负债</w:t>
      </w:r>
      <w:bookmarkEnd w:id="268"/>
    </w:p>
    <w:p w:rsidR="0058782B" w:rsidRPr="00F50B51" w:rsidRDefault="00F80EE7">
      <w:pPr>
        <w:keepNext/>
        <w:keepLines/>
        <w:spacing w:before="300" w:after="300" w:line="280" w:lineRule="exact"/>
        <w:outlineLvl w:val="3"/>
        <w:rPr>
          <w:rFonts w:ascii="宋体" w:eastAsia="宋体" w:hAnsi="宋体" w:cs="宋体"/>
          <w:b/>
          <w:bCs/>
          <w:szCs w:val="21"/>
        </w:rPr>
      </w:pPr>
      <w:bookmarkStart w:id="269" w:name="_Toc989157"/>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未经抵销的递延所得税资产</w:t>
      </w:r>
      <w:bookmarkEnd w:id="26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可抵扣暂时性差异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递延所得税资产</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可抵扣暂时性差异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递延所得税资产</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资产减值准备</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16,498,608.77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2,625,071.06</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17,051,771.83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2,900,637.88</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内部交易未实现利润</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47,086.59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11,771.65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6,829,632.61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1,218,181.49</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可抵扣亏损</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34,558,004.56</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8,093,883.27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22,857,592.58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5,596,422.82</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股份支付</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6,683,159.14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1,002,473.87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1,902,246.67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285,337.00</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57,786,859.06</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11,733,199.85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48,641,243.69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10,000,579.19</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70" w:name="_Toc989158"/>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未经抵销的递延所得税负债</w:t>
      </w:r>
      <w:bookmarkEnd w:id="27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应纳税暂时性差异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递延所得税负债</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应纳税暂时性差异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递延所得税负债</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非同一控制企业合并资产评估增值</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699,237.29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104,885.59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714,366.91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174,631.47</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内部交易未实现利润</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713,500.52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107,155.04</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公允价值变动</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101,660.00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15,249.00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504,264.00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75,639.60</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800,897.29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120,134.59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1,932,131.43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357,426.11</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71" w:name="_Toc989159"/>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以抵销后净额列示的递延所得税资产或负债</w:t>
      </w:r>
      <w:bookmarkEnd w:id="27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递延所得税资产和负债期末互抵金额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抵销后递延所得税资产或负债期末余额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递延所得税资产和负债期初互抵金额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抵销后递延所得税资产或负债期初余额</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递延所得税资产</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11,733,199.85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10,000,579.19</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递延所得税负债</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120,134.59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357,426.11</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72" w:name="_Toc989160"/>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未确认递延所得税资产明细</w:t>
      </w:r>
      <w:bookmarkEnd w:id="27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可抵扣亏损</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41,116,359.32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36,470,580.48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资产减值准备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3,320,441.38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2,502,207.18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44,436,800.70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38,972,787.66</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73" w:name="_Toc989161"/>
      <w:r w:rsidRPr="00F50B51">
        <w:rPr>
          <w:rFonts w:ascii="宋体" w:eastAsia="宋体" w:hAnsi="宋体" w:cs="宋体"/>
          <w:b/>
          <w:bCs/>
          <w:szCs w:val="21"/>
        </w:rPr>
        <w:t>（</w:t>
      </w:r>
      <w:r w:rsidRPr="00F50B51">
        <w:rPr>
          <w:rFonts w:ascii="宋体" w:eastAsia="宋体" w:hAnsi="宋体" w:cs="宋体"/>
          <w:b/>
          <w:bCs/>
          <w:szCs w:val="21"/>
        </w:rPr>
        <w:t>5</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未确认递延所得税资产的可抵扣亏损将于以下年度到期</w:t>
      </w:r>
      <w:bookmarkEnd w:id="27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年份</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备注</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1,182,283.05</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2023</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5,463,243.18</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5,463,243.18</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2024</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8,462,438.33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8,462,438.33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2025</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10,548,118.79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10,548,118.79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2026</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10,814,497.13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10,814,497.13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2027</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5,828,061.89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41,116,359.32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36,470,580.48</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74" w:name="_Toc989162"/>
      <w:r w:rsidRPr="00F50B51">
        <w:rPr>
          <w:rFonts w:ascii="宋体" w:hAnsi="宋体" w:cs="宋体"/>
          <w:b/>
          <w:bCs/>
        </w:rPr>
        <w:t>31</w:t>
      </w:r>
      <w:r w:rsidRPr="00F50B51">
        <w:rPr>
          <w:rFonts w:ascii="宋体" w:hAnsi="宋体" w:cs="宋体"/>
          <w:b/>
          <w:bCs/>
        </w:rPr>
        <w:t>、其他非流动资产</w:t>
      </w:r>
      <w:bookmarkEnd w:id="27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工程设备款</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8,752,847.09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8,752,847.09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12,371,197.82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12,371,197.82</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8,752,847.09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8,752,847.09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12,371,197.82</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12,371,197.82</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75" w:name="_Toc989163"/>
      <w:r w:rsidRPr="00F50B51">
        <w:rPr>
          <w:rFonts w:ascii="宋体" w:hAnsi="宋体" w:cs="宋体"/>
          <w:b/>
          <w:bCs/>
        </w:rPr>
        <w:t>32</w:t>
      </w:r>
      <w:r w:rsidRPr="00F50B51">
        <w:rPr>
          <w:rFonts w:ascii="宋体" w:hAnsi="宋体" w:cs="宋体"/>
          <w:b/>
          <w:bCs/>
        </w:rPr>
        <w:t>、短期借款</w:t>
      </w:r>
      <w:bookmarkEnd w:id="275"/>
    </w:p>
    <w:p w:rsidR="0058782B" w:rsidRPr="00F50B51" w:rsidRDefault="00F80EE7">
      <w:pPr>
        <w:keepNext/>
        <w:keepLines/>
        <w:spacing w:before="300" w:after="300" w:line="280" w:lineRule="exact"/>
        <w:outlineLvl w:val="3"/>
        <w:rPr>
          <w:rFonts w:ascii="宋体" w:eastAsia="宋体" w:hAnsi="宋体" w:cs="宋体"/>
          <w:b/>
          <w:bCs/>
          <w:szCs w:val="21"/>
        </w:rPr>
      </w:pPr>
      <w:bookmarkStart w:id="276" w:name="_Toc989164"/>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短期借款分类</w:t>
      </w:r>
      <w:bookmarkEnd w:id="27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抵押借款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266,840,000.00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191,490,000.00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保证借款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176,880,000.00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181,820,000.00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信用借款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12,500,000.00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12,500,000.00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应计利息</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403,086.39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482,836.39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456,623,086.39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386,292,836.39</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短期借款分类的说明：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277" w:name="_Toc989165"/>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已逾期未偿还的短期借款情况</w:t>
      </w:r>
      <w:bookmarkEnd w:id="277"/>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本期末已逾期未偿还的短期借款总额为元，其中重要的已逾期未偿还的短期借款情况如下：</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借款单位</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借款利率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逾期时间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逾期利率</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78" w:name="_Toc989166"/>
      <w:r w:rsidRPr="00F50B51">
        <w:rPr>
          <w:rFonts w:ascii="宋体" w:hAnsi="宋体" w:cs="宋体"/>
          <w:b/>
          <w:bCs/>
        </w:rPr>
        <w:t>33</w:t>
      </w:r>
      <w:r w:rsidRPr="00F50B51">
        <w:rPr>
          <w:rFonts w:ascii="宋体" w:hAnsi="宋体" w:cs="宋体"/>
          <w:b/>
          <w:bCs/>
        </w:rPr>
        <w:t>、交易性金融负债</w:t>
      </w:r>
      <w:bookmarkEnd w:id="278"/>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79" w:name="_Toc989167"/>
      <w:r w:rsidRPr="00F50B51">
        <w:rPr>
          <w:rFonts w:ascii="宋体" w:hAnsi="宋体" w:cs="宋体"/>
          <w:b/>
          <w:bCs/>
        </w:rPr>
        <w:t>34</w:t>
      </w:r>
      <w:r w:rsidRPr="00F50B51">
        <w:rPr>
          <w:rFonts w:ascii="宋体" w:hAnsi="宋体" w:cs="宋体"/>
          <w:b/>
          <w:bCs/>
        </w:rPr>
        <w:t>、衍生金融负债</w:t>
      </w:r>
      <w:bookmarkEnd w:id="279"/>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80" w:name="_Toc989168"/>
      <w:r w:rsidRPr="00F50B51">
        <w:rPr>
          <w:rFonts w:ascii="宋体" w:hAnsi="宋体" w:cs="宋体"/>
          <w:b/>
          <w:bCs/>
        </w:rPr>
        <w:t>35</w:t>
      </w:r>
      <w:r w:rsidRPr="00F50B51">
        <w:rPr>
          <w:rFonts w:ascii="宋体" w:hAnsi="宋体" w:cs="宋体"/>
          <w:b/>
          <w:bCs/>
        </w:rPr>
        <w:t>、应付票据</w:t>
      </w:r>
      <w:bookmarkEnd w:id="28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种类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银行承兑汇票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330,915,455.34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378,917,235.98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330,915,455.34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378,917,235.98</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本期末已到期未支付的应付票据总额为</w:t>
      </w:r>
      <w:r w:rsidRPr="00F50B51">
        <w:rPr>
          <w:rFonts w:ascii="宋体" w:eastAsia="宋体" w:hAnsi="宋体" w:cs="宋体"/>
          <w:sz w:val="18"/>
          <w:szCs w:val="18"/>
        </w:rPr>
        <w:t>0.00</w:t>
      </w:r>
      <w:r w:rsidRPr="00F50B51">
        <w:rPr>
          <w:rFonts w:ascii="宋体" w:eastAsia="宋体" w:hAnsi="宋体" w:cs="宋体"/>
          <w:sz w:val="18"/>
          <w:szCs w:val="18"/>
        </w:rPr>
        <w:t>元。</w:t>
      </w:r>
    </w:p>
    <w:p w:rsidR="0058782B" w:rsidRPr="00F50B51" w:rsidRDefault="00F80EE7">
      <w:pPr>
        <w:pStyle w:val="3"/>
        <w:spacing w:line="280" w:lineRule="exact"/>
        <w:jc w:val="left"/>
        <w:rPr>
          <w:rFonts w:ascii="宋体" w:hAnsi="宋体" w:cs="宋体"/>
          <w:b/>
          <w:bCs/>
        </w:rPr>
      </w:pPr>
      <w:bookmarkStart w:id="281" w:name="_Toc989169"/>
      <w:r w:rsidRPr="00F50B51">
        <w:rPr>
          <w:rFonts w:ascii="宋体" w:hAnsi="宋体" w:cs="宋体"/>
          <w:b/>
          <w:bCs/>
        </w:rPr>
        <w:t>36</w:t>
      </w:r>
      <w:r w:rsidRPr="00F50B51">
        <w:rPr>
          <w:rFonts w:ascii="宋体" w:hAnsi="宋体" w:cs="宋体"/>
          <w:b/>
          <w:bCs/>
        </w:rPr>
        <w:t>、应付账款</w:t>
      </w:r>
      <w:bookmarkEnd w:id="281"/>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282" w:name="_Toc989170"/>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应付账款列示</w:t>
      </w:r>
      <w:bookmarkEnd w:id="28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41,093,025.87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57,016,281.92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1-2</w:t>
            </w:r>
            <w:r w:rsidRPr="00F50B51">
              <w:rPr>
                <w:rFonts w:ascii="宋体" w:eastAsia="宋体" w:hAnsi="宋体" w:cs="宋体"/>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75,540.00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2,625,764.09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2-3</w:t>
            </w:r>
            <w:r w:rsidRPr="00F50B51">
              <w:rPr>
                <w:rFonts w:ascii="宋体" w:eastAsia="宋体" w:hAnsi="宋体" w:cs="宋体"/>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2,024,880.33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3,316,575.36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7,785,467.63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4,585,700.88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50,978,913.83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67,544,322.25</w:t>
            </w:r>
          </w:p>
        </w:tc>
      </w:tr>
    </w:tbl>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283" w:name="_Toc989171"/>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账龄超过</w:t>
      </w:r>
      <w:r w:rsidRPr="00F50B51">
        <w:rPr>
          <w:rFonts w:ascii="宋体" w:eastAsia="宋体" w:hAnsi="宋体" w:cs="宋体"/>
          <w:b/>
          <w:bCs/>
          <w:sz w:val="18"/>
          <w:szCs w:val="18"/>
        </w:rPr>
        <w:t>1</w:t>
      </w:r>
      <w:r w:rsidRPr="00F50B51">
        <w:rPr>
          <w:rFonts w:ascii="宋体" w:eastAsia="宋体" w:hAnsi="宋体" w:cs="宋体"/>
          <w:b/>
          <w:bCs/>
          <w:sz w:val="18"/>
          <w:szCs w:val="18"/>
        </w:rPr>
        <w:t>年的重要应付账款</w:t>
      </w:r>
      <w:bookmarkEnd w:id="28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未偿还或结转的原因</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84" w:name="_Toc989172"/>
      <w:r w:rsidRPr="00F50B51">
        <w:rPr>
          <w:rFonts w:ascii="宋体" w:hAnsi="宋体" w:cs="宋体"/>
          <w:b/>
          <w:bCs/>
        </w:rPr>
        <w:t>37</w:t>
      </w:r>
      <w:r w:rsidRPr="00F50B51">
        <w:rPr>
          <w:rFonts w:ascii="宋体" w:hAnsi="宋体" w:cs="宋体"/>
          <w:b/>
          <w:bCs/>
        </w:rPr>
        <w:t>、预收款项</w:t>
      </w:r>
      <w:bookmarkEnd w:id="284"/>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285" w:name="_Toc989173"/>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预收款项列示</w:t>
      </w:r>
      <w:bookmarkEnd w:id="28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286" w:name="_Toc989174"/>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账龄超过</w:t>
      </w:r>
      <w:r w:rsidRPr="00F50B51">
        <w:rPr>
          <w:rFonts w:ascii="宋体" w:eastAsia="宋体" w:hAnsi="宋体" w:cs="宋体"/>
          <w:b/>
          <w:bCs/>
          <w:sz w:val="18"/>
          <w:szCs w:val="18"/>
        </w:rPr>
        <w:t>1</w:t>
      </w:r>
      <w:r w:rsidRPr="00F50B51">
        <w:rPr>
          <w:rFonts w:ascii="宋体" w:eastAsia="宋体" w:hAnsi="宋体" w:cs="宋体"/>
          <w:b/>
          <w:bCs/>
          <w:sz w:val="18"/>
          <w:szCs w:val="18"/>
        </w:rPr>
        <w:t>年的重要预收款项</w:t>
      </w:r>
      <w:bookmarkEnd w:id="28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未偿还或结转的原因</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F80EE7">
      <w:pPr>
        <w:pStyle w:val="3"/>
        <w:spacing w:line="280" w:lineRule="exact"/>
        <w:jc w:val="left"/>
        <w:rPr>
          <w:rFonts w:ascii="宋体" w:hAnsi="宋体" w:cs="宋体"/>
          <w:b/>
          <w:bCs/>
        </w:rPr>
      </w:pPr>
      <w:bookmarkStart w:id="287" w:name="_Toc989175"/>
      <w:r w:rsidRPr="00F50B51">
        <w:rPr>
          <w:rFonts w:ascii="宋体" w:hAnsi="宋体" w:cs="宋体"/>
          <w:b/>
          <w:bCs/>
        </w:rPr>
        <w:t>38</w:t>
      </w:r>
      <w:r w:rsidRPr="00F50B51">
        <w:rPr>
          <w:rFonts w:ascii="宋体" w:hAnsi="宋体" w:cs="宋体"/>
          <w:b/>
          <w:bCs/>
        </w:rPr>
        <w:t>、合同负债</w:t>
      </w:r>
      <w:bookmarkEnd w:id="28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1,432,884.22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6,218,404.56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1-2</w:t>
            </w:r>
            <w:r w:rsidRPr="00F50B51">
              <w:rPr>
                <w:rFonts w:ascii="宋体" w:eastAsia="宋体" w:hAnsi="宋体" w:cs="宋体"/>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22,783.73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18,253.10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2-3</w:t>
            </w:r>
            <w:r w:rsidRPr="00F50B51">
              <w:rPr>
                <w:rFonts w:ascii="宋体" w:eastAsia="宋体" w:hAnsi="宋体" w:cs="宋体"/>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884.52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55,513.90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66,086.91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10,573.01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1,522,639.38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6,302,744.57</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报告期内账面价值发生重大变动的金额和原因</w:t>
      </w:r>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20"/>
        <w:gridCol w:w="820"/>
        <w:gridCol w:w="7999"/>
      </w:tblGrid>
      <w:tr w:rsidR="0058782B" w:rsidRPr="00F50B51">
        <w:trPr>
          <w:trHeight w:val="240"/>
        </w:trPr>
        <w:tc>
          <w:tcPr>
            <w:tcW w:w="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变动金额</w:t>
            </w:r>
          </w:p>
        </w:tc>
        <w:tc>
          <w:tcPr>
            <w:tcW w:w="800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变动原因</w:t>
            </w:r>
          </w:p>
        </w:tc>
      </w:tr>
    </w:tbl>
    <w:p w:rsidR="0058782B" w:rsidRPr="00F50B51" w:rsidRDefault="00F80EE7">
      <w:pPr>
        <w:pStyle w:val="3"/>
        <w:spacing w:line="280" w:lineRule="exact"/>
        <w:jc w:val="left"/>
        <w:rPr>
          <w:rFonts w:ascii="宋体" w:hAnsi="宋体" w:cs="宋体"/>
          <w:b/>
          <w:bCs/>
        </w:rPr>
      </w:pPr>
      <w:bookmarkStart w:id="288" w:name="_Toc989176"/>
      <w:r w:rsidRPr="00F50B51">
        <w:rPr>
          <w:rFonts w:ascii="宋体" w:hAnsi="宋体" w:cs="宋体"/>
          <w:b/>
          <w:bCs/>
        </w:rPr>
        <w:t>39</w:t>
      </w:r>
      <w:r w:rsidRPr="00F50B51">
        <w:rPr>
          <w:rFonts w:ascii="宋体" w:hAnsi="宋体" w:cs="宋体"/>
          <w:b/>
          <w:bCs/>
        </w:rPr>
        <w:t>、应付职工薪酬</w:t>
      </w:r>
      <w:bookmarkEnd w:id="288"/>
    </w:p>
    <w:p w:rsidR="0058782B" w:rsidRPr="00F50B51" w:rsidRDefault="00F80EE7">
      <w:pPr>
        <w:keepNext/>
        <w:keepLines/>
        <w:spacing w:before="300" w:after="300" w:line="280" w:lineRule="exact"/>
        <w:outlineLvl w:val="3"/>
        <w:rPr>
          <w:rFonts w:ascii="宋体" w:eastAsia="宋体" w:hAnsi="宋体" w:cs="宋体"/>
          <w:b/>
          <w:bCs/>
          <w:szCs w:val="21"/>
        </w:rPr>
      </w:pPr>
      <w:bookmarkStart w:id="289" w:name="_Toc989177"/>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应付职工薪酬列示</w:t>
      </w:r>
      <w:bookmarkEnd w:id="28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一、短期薪酬</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3,186,357.55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38,348,962.01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39,218,719.80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2,316,599.76</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二、离职后福利</w:t>
            </w:r>
            <w:r w:rsidRPr="00F50B51">
              <w:rPr>
                <w:rFonts w:ascii="宋体" w:eastAsia="宋体" w:hAnsi="宋体" w:cs="宋体"/>
                <w:sz w:val="18"/>
                <w:szCs w:val="18"/>
              </w:rPr>
              <w:t>-</w:t>
            </w:r>
            <w:r w:rsidRPr="00F50B51">
              <w:rPr>
                <w:rFonts w:ascii="宋体" w:eastAsia="宋体" w:hAnsi="宋体" w:cs="宋体"/>
                <w:sz w:val="18"/>
                <w:szCs w:val="18"/>
              </w:rPr>
              <w:t>设定提存计划</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3,180,601.34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3,180,601.34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三、辞退福利</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127,592.00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127,592.00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3,186,357.55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41,657,155.35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42,526,913.14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2,316,599.76</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90" w:name="_Toc989178"/>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短期薪酬列示</w:t>
      </w:r>
      <w:bookmarkEnd w:id="29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、工资、奖金、津贴和补贴</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3,186,357.55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33,678,046.06</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34,547,829.85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2,316,573.76</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、职工福利费</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2,617,174.47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2,617,148.47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26.00</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、社会保险费</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1,770,949.48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1,770,949.48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其中：医疗保险费</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1,662,039.17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1,662,039.17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500" w:firstLine="900"/>
              <w:rPr>
                <w:rFonts w:ascii="宋体" w:eastAsia="宋体" w:hAnsi="宋体" w:cs="宋体"/>
                <w:sz w:val="18"/>
                <w:szCs w:val="18"/>
              </w:rPr>
            </w:pPr>
            <w:r w:rsidRPr="00F50B51">
              <w:rPr>
                <w:rFonts w:ascii="宋体" w:eastAsia="宋体" w:hAnsi="宋体" w:cs="宋体"/>
                <w:sz w:val="18"/>
                <w:szCs w:val="18"/>
              </w:rPr>
              <w:t>工伤保险费</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95,055.31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95,055.31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500" w:firstLine="900"/>
              <w:rPr>
                <w:rFonts w:ascii="宋体" w:eastAsia="宋体" w:hAnsi="宋体" w:cs="宋体"/>
                <w:sz w:val="18"/>
                <w:szCs w:val="18"/>
              </w:rPr>
            </w:pPr>
            <w:r w:rsidRPr="00F50B51">
              <w:rPr>
                <w:rFonts w:ascii="宋体" w:eastAsia="宋体" w:hAnsi="宋体" w:cs="宋体"/>
                <w:sz w:val="18"/>
                <w:szCs w:val="18"/>
              </w:rPr>
              <w:t>生育保险费</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13,855.00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13,855.00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、住房公积金</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282,792.00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282,792.00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3,186,357.55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38,348,962.01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39,218,719.80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2,316,599.76</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291" w:name="_Toc989179"/>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设定提存计划列示</w:t>
      </w:r>
      <w:bookmarkEnd w:id="29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、基本养老保险</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3,118,842.32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3,118,842.32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、失业保险费</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61,759.02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61,759.02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3,180,601.34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3,180,601.34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92" w:name="_Toc989180"/>
      <w:r w:rsidRPr="00F50B51">
        <w:rPr>
          <w:rFonts w:ascii="宋体" w:hAnsi="宋体" w:cs="宋体"/>
          <w:b/>
          <w:bCs/>
        </w:rPr>
        <w:t>40</w:t>
      </w:r>
      <w:r w:rsidRPr="00F50B51">
        <w:rPr>
          <w:rFonts w:ascii="宋体" w:hAnsi="宋体" w:cs="宋体"/>
          <w:b/>
          <w:bCs/>
        </w:rPr>
        <w:t>、应交税费</w:t>
      </w:r>
      <w:bookmarkEnd w:id="29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增值税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3,761,157.74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企业所得税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1,565,594.73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个人所得税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26,257.45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26,167.81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35,790.49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82,808.44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土地使用税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54,076.09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54,076.09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资源税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16,652.72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78,045.37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印花税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140,534.02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99,959.26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环保税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9,738.72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15,338.77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35,489.33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地方教育附加</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10,225.86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23,659.55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4,148,078.51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1,932,493.93</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93" w:name="_Toc989181"/>
      <w:r w:rsidRPr="00F50B51">
        <w:rPr>
          <w:rFonts w:ascii="宋体" w:hAnsi="宋体" w:cs="宋体"/>
          <w:b/>
          <w:bCs/>
        </w:rPr>
        <w:t>41</w:t>
      </w:r>
      <w:r w:rsidRPr="00F50B51">
        <w:rPr>
          <w:rFonts w:ascii="宋体" w:hAnsi="宋体" w:cs="宋体"/>
          <w:b/>
          <w:bCs/>
        </w:rPr>
        <w:t>、其他应付款</w:t>
      </w:r>
      <w:bookmarkEnd w:id="29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25,572,209.36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26,021,174.83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25,572,209.36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26,021,174.83</w:t>
            </w:r>
          </w:p>
        </w:tc>
      </w:tr>
    </w:tbl>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294" w:name="_Toc989182"/>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应付利息</w:t>
      </w:r>
      <w:bookmarkEnd w:id="29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重要的已逾期未支付的利息情况：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借款单位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逾期金额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逾期原因</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295" w:name="_Toc989183"/>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应付股利</w:t>
      </w:r>
      <w:bookmarkEnd w:id="29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其他说明，包括重要的超过</w:t>
      </w:r>
      <w:r w:rsidRPr="00F50B51">
        <w:rPr>
          <w:rFonts w:ascii="宋体" w:eastAsia="宋体" w:hAnsi="宋体" w:cs="宋体"/>
          <w:sz w:val="18"/>
          <w:szCs w:val="18"/>
        </w:rPr>
        <w:t>1</w:t>
      </w:r>
      <w:r w:rsidRPr="00F50B51">
        <w:rPr>
          <w:rFonts w:ascii="宋体" w:eastAsia="宋体" w:hAnsi="宋体" w:cs="宋体"/>
          <w:sz w:val="18"/>
          <w:szCs w:val="18"/>
        </w:rPr>
        <w:t>年未支付的应付股利，应披露未支付原因：</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296" w:name="_Toc989184"/>
      <w:r w:rsidRPr="00F50B51">
        <w:rPr>
          <w:rFonts w:ascii="宋体" w:eastAsia="宋体" w:hAnsi="宋体" w:cs="宋体"/>
          <w:b/>
          <w:bCs/>
          <w:sz w:val="18"/>
          <w:szCs w:val="18"/>
        </w:rPr>
        <w:t>（</w:t>
      </w:r>
      <w:r w:rsidRPr="00F50B51">
        <w:rPr>
          <w:rFonts w:ascii="宋体" w:eastAsia="宋体" w:hAnsi="宋体" w:cs="宋体"/>
          <w:b/>
          <w:bCs/>
          <w:sz w:val="18"/>
          <w:szCs w:val="18"/>
        </w:rPr>
        <w:t>3</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其他应付款</w:t>
      </w:r>
      <w:bookmarkEnd w:id="296"/>
    </w:p>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297" w:name="_Toc989185"/>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按款项性质列示其他应付款</w:t>
      </w:r>
      <w:bookmarkEnd w:id="29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押金保证金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828,785.36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个人往来款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370,858.36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社保类</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20,989.47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限制性股票回购义务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25,572,209.36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26,021,174.83</w:t>
            </w:r>
          </w:p>
        </w:tc>
      </w:tr>
    </w:tbl>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298" w:name="_Toc989186"/>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账龄超过</w:t>
      </w:r>
      <w:r w:rsidRPr="00F50B51">
        <w:rPr>
          <w:rFonts w:ascii="宋体" w:eastAsia="宋体" w:hAnsi="宋体" w:cs="宋体"/>
          <w:b/>
          <w:bCs/>
          <w:sz w:val="18"/>
          <w:szCs w:val="18"/>
        </w:rPr>
        <w:t>1</w:t>
      </w:r>
      <w:r w:rsidRPr="00F50B51">
        <w:rPr>
          <w:rFonts w:ascii="宋体" w:eastAsia="宋体" w:hAnsi="宋体" w:cs="宋体"/>
          <w:b/>
          <w:bCs/>
          <w:sz w:val="18"/>
          <w:szCs w:val="18"/>
        </w:rPr>
        <w:t>年的重要其他应付款</w:t>
      </w:r>
      <w:bookmarkEnd w:id="298"/>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未偿还或结转的原因</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299" w:name="_Toc989187"/>
      <w:r w:rsidRPr="00F50B51">
        <w:rPr>
          <w:rFonts w:ascii="宋体" w:hAnsi="宋体" w:cs="宋体"/>
          <w:b/>
          <w:bCs/>
        </w:rPr>
        <w:t>42</w:t>
      </w:r>
      <w:r w:rsidRPr="00F50B51">
        <w:rPr>
          <w:rFonts w:ascii="宋体" w:hAnsi="宋体" w:cs="宋体"/>
          <w:b/>
          <w:bCs/>
        </w:rPr>
        <w:t>、持有待售负债</w:t>
      </w:r>
      <w:bookmarkEnd w:id="29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00" w:name="_Toc989188"/>
      <w:r w:rsidRPr="00F50B51">
        <w:rPr>
          <w:rFonts w:ascii="宋体" w:hAnsi="宋体" w:cs="宋体"/>
          <w:b/>
          <w:bCs/>
        </w:rPr>
        <w:t>43</w:t>
      </w:r>
      <w:r w:rsidRPr="00F50B51">
        <w:rPr>
          <w:rFonts w:ascii="宋体" w:hAnsi="宋体" w:cs="宋体"/>
          <w:b/>
          <w:bCs/>
        </w:rPr>
        <w:t>、一年内到期的非流动负债</w:t>
      </w:r>
      <w:bookmarkEnd w:id="30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一年内到期的长期借款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97,800,000.00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39,800,000.00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一年内到期的租赁负债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171,625.52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686,502.13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97,971,625.52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40,486,502.13</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01" w:name="_Toc989189"/>
      <w:r w:rsidRPr="00F50B51">
        <w:rPr>
          <w:rFonts w:ascii="宋体" w:hAnsi="宋体" w:cs="宋体"/>
          <w:b/>
          <w:bCs/>
        </w:rPr>
        <w:t>44</w:t>
      </w:r>
      <w:r w:rsidRPr="00F50B51">
        <w:rPr>
          <w:rFonts w:ascii="宋体" w:hAnsi="宋体" w:cs="宋体"/>
          <w:b/>
          <w:bCs/>
        </w:rPr>
        <w:t>、其他流动负债</w:t>
      </w:r>
      <w:bookmarkEnd w:id="30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可转换公司债券应付利息</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3,103,683.57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1,568,516.32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长期借款应计利息</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426,346.60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待转销项税额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197,943.14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819,356.80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3,301,626.71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2,814,219.72</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短期应付债券的增减变动：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04"/>
        <w:gridCol w:w="804"/>
        <w:gridCol w:w="804"/>
        <w:gridCol w:w="803"/>
        <w:gridCol w:w="803"/>
        <w:gridCol w:w="803"/>
        <w:gridCol w:w="803"/>
        <w:gridCol w:w="803"/>
        <w:gridCol w:w="803"/>
        <w:gridCol w:w="803"/>
        <w:gridCol w:w="803"/>
        <w:gridCol w:w="803"/>
      </w:tblGrid>
      <w:tr w:rsidR="0058782B" w:rsidRPr="00F50B51">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债券名称</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面值</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发行日期</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债券期限</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发行金额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本期发行</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按面值计提利息</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溢折价摊销</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本期偿还</w:t>
            </w: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02" w:name="_Toc989190"/>
      <w:r w:rsidRPr="00F50B51">
        <w:rPr>
          <w:rFonts w:ascii="宋体" w:hAnsi="宋体" w:cs="宋体"/>
          <w:b/>
          <w:bCs/>
        </w:rPr>
        <w:t>45</w:t>
      </w:r>
      <w:r w:rsidRPr="00F50B51">
        <w:rPr>
          <w:rFonts w:ascii="宋体" w:hAnsi="宋体" w:cs="宋体"/>
          <w:b/>
          <w:bCs/>
        </w:rPr>
        <w:t>、长期借款</w:t>
      </w:r>
      <w:bookmarkEnd w:id="302"/>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03" w:name="_Toc989191"/>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长期借款分类</w:t>
      </w:r>
      <w:bookmarkEnd w:id="30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质押借款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18,400,000.00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抵押借款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保证借款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74,000,000.00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114,000,000.00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信用借款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15,000,000.00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159,000,000.00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227,400,000.00</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长期借款分类的说明：</w:t>
      </w:r>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注：</w:t>
      </w:r>
      <w:r w:rsidRPr="00F50B51">
        <w:rPr>
          <w:rFonts w:ascii="Times New Roman" w:hAnsi="Times New Roman" w:cs="Times New Roman"/>
          <w:sz w:val="21"/>
          <w:szCs w:val="21"/>
          <w:shd w:val="clear" w:color="auto" w:fill="FFFFFF"/>
        </w:rPr>
        <w:t>1</w:t>
      </w:r>
      <w:r w:rsidRPr="00F50B51">
        <w:rPr>
          <w:rFonts w:cs="Times New Roman" w:hint="eastAsia"/>
          <w:sz w:val="21"/>
          <w:szCs w:val="21"/>
          <w:shd w:val="clear" w:color="auto" w:fill="FFFFFF"/>
        </w:rPr>
        <w:t>、</w:t>
      </w:r>
      <w:r w:rsidRPr="00F50B51">
        <w:rPr>
          <w:rFonts w:ascii="Times New Roman" w:hAnsi="Times New Roman" w:cs="Times New Roman"/>
          <w:sz w:val="21"/>
          <w:szCs w:val="21"/>
          <w:shd w:val="clear" w:color="auto" w:fill="FFFFFF"/>
        </w:rPr>
        <w:t>2022</w:t>
      </w:r>
      <w:r w:rsidRPr="00F50B51">
        <w:rPr>
          <w:rFonts w:cs="Times New Roman" w:hint="eastAsia"/>
          <w:sz w:val="21"/>
          <w:szCs w:val="21"/>
          <w:shd w:val="clear" w:color="auto" w:fill="FFFFFF"/>
        </w:rPr>
        <w:t>年</w:t>
      </w:r>
      <w:r w:rsidRPr="00F50B51">
        <w:rPr>
          <w:rFonts w:ascii="Times New Roman" w:hAnsi="Times New Roman" w:cs="Times New Roman"/>
          <w:sz w:val="21"/>
          <w:szCs w:val="21"/>
          <w:shd w:val="clear" w:color="auto" w:fill="FFFFFF"/>
        </w:rPr>
        <w:t>1</w:t>
      </w:r>
      <w:r w:rsidRPr="00F50B51">
        <w:rPr>
          <w:rFonts w:cs="Times New Roman" w:hint="eastAsia"/>
          <w:sz w:val="21"/>
          <w:szCs w:val="21"/>
          <w:shd w:val="clear" w:color="auto" w:fill="FFFFFF"/>
        </w:rPr>
        <w:t>月</w:t>
      </w:r>
      <w:r w:rsidRPr="00F50B51">
        <w:rPr>
          <w:rFonts w:ascii="Times New Roman" w:hAnsi="Times New Roman" w:cs="Times New Roman"/>
          <w:sz w:val="21"/>
          <w:szCs w:val="21"/>
          <w:shd w:val="clear" w:color="auto" w:fill="FFFFFF"/>
        </w:rPr>
        <w:t>5</w:t>
      </w:r>
      <w:r w:rsidRPr="00F50B51">
        <w:rPr>
          <w:rFonts w:cs="Times New Roman" w:hint="eastAsia"/>
          <w:sz w:val="21"/>
          <w:szCs w:val="21"/>
          <w:shd w:val="clear" w:color="auto" w:fill="FFFFFF"/>
        </w:rPr>
        <w:t>日，公司与中国建设银行股份有限公司潮州市分行签订《</w:t>
      </w:r>
      <w:r w:rsidRPr="00F50B51">
        <w:rPr>
          <w:rFonts w:ascii="Times New Roman" w:hAnsi="Times New Roman" w:cs="Times New Roman"/>
          <w:sz w:val="21"/>
          <w:szCs w:val="21"/>
          <w:shd w:val="clear" w:color="auto" w:fill="FFFFFF"/>
        </w:rPr>
        <w:t>HTZ440800000LDZJ2021N00G</w:t>
      </w:r>
      <w:r w:rsidRPr="00F50B51">
        <w:rPr>
          <w:rFonts w:cs="Times New Roman" w:hint="eastAsia"/>
          <w:sz w:val="21"/>
          <w:szCs w:val="21"/>
          <w:shd w:val="clear" w:color="auto" w:fill="FFFFFF"/>
        </w:rPr>
        <w:t>》人民币流动资金贷款合同。</w:t>
      </w:r>
    </w:p>
    <w:p w:rsidR="0058782B" w:rsidRPr="00F50B51" w:rsidRDefault="00F80EE7">
      <w:pPr>
        <w:pStyle w:val="a7"/>
        <w:spacing w:before="120" w:beforeAutospacing="0" w:after="0" w:afterAutospacing="0" w:line="460" w:lineRule="atLeast"/>
        <w:ind w:firstLine="844"/>
        <w:jc w:val="both"/>
        <w:rPr>
          <w:rFonts w:ascii="Times New Roman" w:hAnsi="Times New Roman" w:cs="Times New Roman"/>
          <w:sz w:val="21"/>
          <w:szCs w:val="21"/>
        </w:rPr>
      </w:pPr>
      <w:r w:rsidRPr="00F50B51">
        <w:rPr>
          <w:rFonts w:ascii="Times New Roman" w:hAnsi="Times New Roman" w:cs="Times New Roman"/>
          <w:sz w:val="21"/>
          <w:szCs w:val="21"/>
        </w:rPr>
        <w:t>2</w:t>
      </w:r>
      <w:r w:rsidRPr="00F50B51">
        <w:rPr>
          <w:rFonts w:cs="Times New Roman" w:hint="eastAsia"/>
          <w:sz w:val="21"/>
          <w:szCs w:val="21"/>
        </w:rPr>
        <w:t>、子公司江西翔鹭钨业有限公司分别于</w:t>
      </w:r>
      <w:r w:rsidRPr="00F50B51">
        <w:rPr>
          <w:rFonts w:ascii="Times New Roman" w:hAnsi="Times New Roman" w:cs="Times New Roman"/>
          <w:sz w:val="21"/>
          <w:szCs w:val="21"/>
        </w:rPr>
        <w:t>2020</w:t>
      </w:r>
      <w:r w:rsidRPr="00F50B51">
        <w:rPr>
          <w:rFonts w:cs="Times New Roman" w:hint="eastAsia"/>
          <w:sz w:val="21"/>
          <w:szCs w:val="21"/>
        </w:rPr>
        <w:t>年</w:t>
      </w:r>
      <w:r w:rsidRPr="00F50B51">
        <w:rPr>
          <w:rFonts w:ascii="Times New Roman" w:hAnsi="Times New Roman" w:cs="Times New Roman"/>
          <w:sz w:val="21"/>
          <w:szCs w:val="21"/>
        </w:rPr>
        <w:t>11</w:t>
      </w:r>
      <w:r w:rsidRPr="00F50B51">
        <w:rPr>
          <w:rFonts w:cs="Times New Roman" w:hint="eastAsia"/>
          <w:sz w:val="21"/>
          <w:szCs w:val="21"/>
        </w:rPr>
        <w:t>月</w:t>
      </w:r>
      <w:r w:rsidRPr="00F50B51">
        <w:rPr>
          <w:rFonts w:ascii="Times New Roman" w:hAnsi="Times New Roman" w:cs="Times New Roman"/>
          <w:sz w:val="21"/>
          <w:szCs w:val="21"/>
        </w:rPr>
        <w:t>27</w:t>
      </w:r>
      <w:r w:rsidRPr="00F50B51">
        <w:rPr>
          <w:rFonts w:cs="Times New Roman" w:hint="eastAsia"/>
          <w:sz w:val="21"/>
          <w:szCs w:val="21"/>
        </w:rPr>
        <w:t>日和</w:t>
      </w:r>
      <w:r w:rsidRPr="00F50B51">
        <w:rPr>
          <w:rFonts w:ascii="Times New Roman" w:hAnsi="Times New Roman" w:cs="Times New Roman"/>
          <w:sz w:val="21"/>
          <w:szCs w:val="21"/>
        </w:rPr>
        <w:t>2020</w:t>
      </w:r>
      <w:r w:rsidRPr="00F50B51">
        <w:rPr>
          <w:rFonts w:cs="Times New Roman" w:hint="eastAsia"/>
          <w:sz w:val="21"/>
          <w:szCs w:val="21"/>
        </w:rPr>
        <w:t>年</w:t>
      </w:r>
      <w:r w:rsidRPr="00F50B51">
        <w:rPr>
          <w:rFonts w:ascii="Times New Roman" w:hAnsi="Times New Roman" w:cs="Times New Roman"/>
          <w:sz w:val="21"/>
          <w:szCs w:val="21"/>
        </w:rPr>
        <w:t>12</w:t>
      </w:r>
      <w:r w:rsidRPr="00F50B51">
        <w:rPr>
          <w:rFonts w:cs="Times New Roman" w:hint="eastAsia"/>
          <w:sz w:val="21"/>
          <w:szCs w:val="21"/>
        </w:rPr>
        <w:t>月</w:t>
      </w:r>
      <w:r w:rsidRPr="00F50B51">
        <w:rPr>
          <w:rFonts w:ascii="Times New Roman" w:hAnsi="Times New Roman" w:cs="Times New Roman"/>
          <w:sz w:val="21"/>
          <w:szCs w:val="21"/>
        </w:rPr>
        <w:t>14</w:t>
      </w:r>
      <w:r w:rsidRPr="00F50B51">
        <w:rPr>
          <w:rFonts w:cs="Times New Roman" w:hint="eastAsia"/>
          <w:sz w:val="21"/>
          <w:szCs w:val="21"/>
        </w:rPr>
        <w:t>日与兴业银行股份有限公司赣州分行签订《兴银赣虔营企项字第</w:t>
      </w:r>
      <w:r w:rsidRPr="00F50B51">
        <w:rPr>
          <w:rFonts w:ascii="Times New Roman" w:hAnsi="Times New Roman" w:cs="Times New Roman"/>
          <w:sz w:val="21"/>
          <w:szCs w:val="21"/>
        </w:rPr>
        <w:t>20200004</w:t>
      </w:r>
      <w:r w:rsidRPr="00F50B51">
        <w:rPr>
          <w:rFonts w:cs="Times New Roman" w:hint="eastAsia"/>
          <w:sz w:val="21"/>
          <w:szCs w:val="21"/>
        </w:rPr>
        <w:t>号》和《兴银赣虔营企委托字第</w:t>
      </w:r>
      <w:r w:rsidRPr="00F50B51">
        <w:rPr>
          <w:rFonts w:ascii="Times New Roman" w:hAnsi="Times New Roman" w:cs="Times New Roman"/>
          <w:sz w:val="21"/>
          <w:szCs w:val="21"/>
        </w:rPr>
        <w:t>S20200001</w:t>
      </w:r>
      <w:r w:rsidRPr="00F50B51">
        <w:rPr>
          <w:rFonts w:cs="Times New Roman" w:hint="eastAsia"/>
          <w:sz w:val="21"/>
          <w:szCs w:val="21"/>
        </w:rPr>
        <w:t>号》保证、抵押借款合同，以土地使用权及其地上全部在建工程为本次借款做抵押。</w:t>
      </w:r>
    </w:p>
    <w:p w:rsidR="0058782B" w:rsidRPr="00F50B51" w:rsidRDefault="00F80EE7">
      <w:pPr>
        <w:pStyle w:val="a7"/>
        <w:spacing w:before="120" w:beforeAutospacing="0" w:after="0" w:afterAutospacing="0" w:line="460" w:lineRule="atLeast"/>
        <w:ind w:firstLine="844"/>
        <w:jc w:val="both"/>
        <w:rPr>
          <w:rFonts w:ascii="Times New Roman" w:hAnsi="Times New Roman" w:cs="Times New Roman"/>
          <w:sz w:val="21"/>
          <w:szCs w:val="21"/>
        </w:rPr>
      </w:pPr>
      <w:r w:rsidRPr="00F50B51">
        <w:rPr>
          <w:rFonts w:ascii="Times New Roman" w:hAnsi="Times New Roman" w:cs="Times New Roman"/>
          <w:sz w:val="21"/>
          <w:szCs w:val="21"/>
        </w:rPr>
        <w:t>3</w:t>
      </w:r>
      <w:r w:rsidRPr="00F50B51">
        <w:rPr>
          <w:rFonts w:cs="Times New Roman" w:hint="eastAsia"/>
          <w:sz w:val="21"/>
          <w:szCs w:val="21"/>
        </w:rPr>
        <w:t>、子公司江西翔鹭钨业有限公司分别于</w:t>
      </w:r>
      <w:r w:rsidRPr="00F50B51">
        <w:rPr>
          <w:rFonts w:ascii="Times New Roman" w:hAnsi="Times New Roman" w:cs="Times New Roman"/>
          <w:sz w:val="21"/>
          <w:szCs w:val="21"/>
        </w:rPr>
        <w:t>2021</w:t>
      </w:r>
      <w:r w:rsidRPr="00F50B51">
        <w:rPr>
          <w:rFonts w:cs="Times New Roman" w:hint="eastAsia"/>
          <w:sz w:val="21"/>
          <w:szCs w:val="21"/>
        </w:rPr>
        <w:t>年</w:t>
      </w:r>
      <w:r w:rsidRPr="00F50B51">
        <w:rPr>
          <w:rFonts w:ascii="Times New Roman" w:hAnsi="Times New Roman" w:cs="Times New Roman"/>
          <w:sz w:val="21"/>
          <w:szCs w:val="21"/>
        </w:rPr>
        <w:t>1</w:t>
      </w:r>
      <w:r w:rsidRPr="00F50B51">
        <w:rPr>
          <w:rFonts w:cs="Times New Roman" w:hint="eastAsia"/>
          <w:sz w:val="21"/>
          <w:szCs w:val="21"/>
        </w:rPr>
        <w:t>月</w:t>
      </w:r>
      <w:r w:rsidRPr="00F50B51">
        <w:rPr>
          <w:rFonts w:ascii="Times New Roman" w:hAnsi="Times New Roman" w:cs="Times New Roman"/>
          <w:sz w:val="21"/>
          <w:szCs w:val="21"/>
        </w:rPr>
        <w:t>16</w:t>
      </w:r>
      <w:r w:rsidRPr="00F50B51">
        <w:rPr>
          <w:rFonts w:cs="Times New Roman" w:hint="eastAsia"/>
          <w:sz w:val="21"/>
          <w:szCs w:val="21"/>
        </w:rPr>
        <w:t>日、</w:t>
      </w:r>
      <w:r w:rsidRPr="00F50B51">
        <w:rPr>
          <w:rFonts w:ascii="Times New Roman" w:hAnsi="Times New Roman" w:cs="Times New Roman"/>
          <w:sz w:val="21"/>
          <w:szCs w:val="21"/>
        </w:rPr>
        <w:t>2021</w:t>
      </w:r>
      <w:r w:rsidRPr="00F50B51">
        <w:rPr>
          <w:rFonts w:cs="Times New Roman" w:hint="eastAsia"/>
          <w:sz w:val="21"/>
          <w:szCs w:val="21"/>
        </w:rPr>
        <w:t>年</w:t>
      </w:r>
      <w:r w:rsidRPr="00F50B51">
        <w:rPr>
          <w:rFonts w:ascii="Times New Roman" w:hAnsi="Times New Roman" w:cs="Times New Roman"/>
          <w:sz w:val="21"/>
          <w:szCs w:val="21"/>
        </w:rPr>
        <w:t>1</w:t>
      </w:r>
      <w:r w:rsidRPr="00F50B51">
        <w:rPr>
          <w:rFonts w:cs="Times New Roman" w:hint="eastAsia"/>
          <w:sz w:val="21"/>
          <w:szCs w:val="21"/>
        </w:rPr>
        <w:t>月</w:t>
      </w:r>
      <w:r w:rsidRPr="00F50B51">
        <w:rPr>
          <w:rFonts w:ascii="Times New Roman" w:hAnsi="Times New Roman" w:cs="Times New Roman"/>
          <w:sz w:val="21"/>
          <w:szCs w:val="21"/>
        </w:rPr>
        <w:t>18</w:t>
      </w:r>
      <w:r w:rsidRPr="00F50B51">
        <w:rPr>
          <w:rFonts w:cs="Times New Roman" w:hint="eastAsia"/>
          <w:sz w:val="21"/>
          <w:szCs w:val="21"/>
        </w:rPr>
        <w:t>日和</w:t>
      </w:r>
      <w:r w:rsidRPr="00F50B51">
        <w:rPr>
          <w:rFonts w:ascii="Times New Roman" w:hAnsi="Times New Roman" w:cs="Times New Roman"/>
          <w:sz w:val="21"/>
          <w:szCs w:val="21"/>
        </w:rPr>
        <w:t>2021</w:t>
      </w:r>
      <w:r w:rsidRPr="00F50B51">
        <w:rPr>
          <w:rFonts w:cs="Times New Roman" w:hint="eastAsia"/>
          <w:sz w:val="21"/>
          <w:szCs w:val="21"/>
        </w:rPr>
        <w:t>年</w:t>
      </w:r>
      <w:r w:rsidRPr="00F50B51">
        <w:rPr>
          <w:rFonts w:ascii="Times New Roman" w:hAnsi="Times New Roman" w:cs="Times New Roman"/>
          <w:sz w:val="21"/>
          <w:szCs w:val="21"/>
        </w:rPr>
        <w:t>2</w:t>
      </w:r>
      <w:r w:rsidRPr="00F50B51">
        <w:rPr>
          <w:rFonts w:cs="Times New Roman" w:hint="eastAsia"/>
          <w:sz w:val="21"/>
          <w:szCs w:val="21"/>
        </w:rPr>
        <w:t>月</w:t>
      </w:r>
      <w:r w:rsidRPr="00F50B51">
        <w:rPr>
          <w:rFonts w:ascii="Times New Roman" w:hAnsi="Times New Roman" w:cs="Times New Roman"/>
          <w:sz w:val="21"/>
          <w:szCs w:val="21"/>
        </w:rPr>
        <w:t>25</w:t>
      </w:r>
      <w:r w:rsidRPr="00F50B51">
        <w:rPr>
          <w:rFonts w:cs="Times New Roman" w:hint="eastAsia"/>
          <w:sz w:val="21"/>
          <w:szCs w:val="21"/>
        </w:rPr>
        <w:t>日与赣州银行股份有限公司大余支行签订了编号为</w:t>
      </w:r>
      <w:r w:rsidRPr="00F50B51">
        <w:rPr>
          <w:rFonts w:ascii="Times New Roman" w:hAnsi="Times New Roman" w:cs="Times New Roman"/>
          <w:sz w:val="21"/>
          <w:szCs w:val="21"/>
        </w:rPr>
        <w:t>28560021011801120001</w:t>
      </w:r>
      <w:r w:rsidRPr="00F50B51">
        <w:rPr>
          <w:rFonts w:cs="Times New Roman" w:hint="eastAsia"/>
          <w:sz w:val="21"/>
          <w:szCs w:val="21"/>
        </w:rPr>
        <w:t>、</w:t>
      </w:r>
      <w:r w:rsidRPr="00F50B51">
        <w:rPr>
          <w:rFonts w:ascii="Times New Roman" w:hAnsi="Times New Roman" w:cs="Times New Roman"/>
          <w:sz w:val="21"/>
          <w:szCs w:val="21"/>
        </w:rPr>
        <w:t>28560021011806120001</w:t>
      </w:r>
      <w:r w:rsidRPr="00F50B51">
        <w:rPr>
          <w:rFonts w:cs="Times New Roman" w:hint="eastAsia"/>
          <w:sz w:val="21"/>
          <w:szCs w:val="21"/>
        </w:rPr>
        <w:t>和</w:t>
      </w:r>
      <w:r w:rsidRPr="00F50B51">
        <w:rPr>
          <w:rFonts w:ascii="Times New Roman" w:hAnsi="Times New Roman" w:cs="Times New Roman"/>
          <w:sz w:val="21"/>
          <w:szCs w:val="21"/>
        </w:rPr>
        <w:t>28560021022501120001</w:t>
      </w:r>
      <w:r w:rsidRPr="00F50B51">
        <w:rPr>
          <w:rFonts w:cs="Times New Roman" w:hint="eastAsia"/>
          <w:sz w:val="21"/>
          <w:szCs w:val="21"/>
        </w:rPr>
        <w:t>的《固定资产贷款合同》</w:t>
      </w:r>
      <w:r w:rsidRPr="00F50B51">
        <w:rPr>
          <w:rFonts w:cs="Times New Roman" w:hint="eastAsia"/>
          <w:sz w:val="21"/>
          <w:szCs w:val="21"/>
        </w:rPr>
        <w:t xml:space="preserve"> </w:t>
      </w:r>
      <w:r w:rsidRPr="00F50B51">
        <w:rPr>
          <w:rFonts w:cs="Times New Roman" w:hint="eastAsia"/>
          <w:sz w:val="21"/>
          <w:szCs w:val="21"/>
        </w:rPr>
        <w:t>和</w:t>
      </w:r>
      <w:r w:rsidRPr="00F50B51">
        <w:rPr>
          <w:rFonts w:cs="Times New Roman" w:hint="eastAsia"/>
          <w:sz w:val="21"/>
          <w:szCs w:val="21"/>
        </w:rPr>
        <w:t xml:space="preserve"> </w:t>
      </w:r>
      <w:r w:rsidRPr="00F50B51">
        <w:rPr>
          <w:rFonts w:cs="Times New Roman" w:hint="eastAsia"/>
          <w:sz w:val="21"/>
          <w:szCs w:val="21"/>
        </w:rPr>
        <w:t>《委托贷款合同》保证借款合同，由陈启丰、陈宏音和广东翔鹭钨业股份有限公司为本次借款做保证担保。</w:t>
      </w:r>
    </w:p>
    <w:p w:rsidR="0058782B" w:rsidRPr="00F50B51" w:rsidRDefault="00F80EE7">
      <w:pPr>
        <w:pStyle w:val="a7"/>
        <w:spacing w:before="120" w:beforeAutospacing="0" w:after="0" w:afterAutospacing="0" w:line="460" w:lineRule="atLeast"/>
        <w:ind w:firstLine="844"/>
        <w:jc w:val="both"/>
        <w:rPr>
          <w:rFonts w:ascii="Times New Roman" w:hAnsi="Times New Roman" w:cs="Times New Roman"/>
          <w:sz w:val="21"/>
          <w:szCs w:val="21"/>
        </w:rPr>
      </w:pPr>
      <w:r w:rsidRPr="00F50B51">
        <w:rPr>
          <w:rFonts w:ascii="Times New Roman" w:hAnsi="Times New Roman" w:cs="Times New Roman"/>
          <w:sz w:val="21"/>
          <w:szCs w:val="21"/>
        </w:rPr>
        <w:t> </w:t>
      </w:r>
    </w:p>
    <w:p w:rsidR="0058782B" w:rsidRPr="00F50B51" w:rsidRDefault="00F80EE7">
      <w:pPr>
        <w:pStyle w:val="a7"/>
        <w:spacing w:before="0" w:beforeAutospacing="0" w:after="0" w:afterAutospacing="0"/>
        <w:jc w:val="both"/>
        <w:rPr>
          <w:rFonts w:ascii="Times New Roman" w:hAnsi="Times New Roman" w:cs="Times New Roman"/>
          <w:sz w:val="21"/>
          <w:szCs w:val="21"/>
        </w:rPr>
      </w:pPr>
      <w:r w:rsidRPr="00F50B51">
        <w:rPr>
          <w:rFonts w:cs="Times New Roman" w:hint="eastAsia"/>
          <w:sz w:val="21"/>
          <w:szCs w:val="21"/>
        </w:rPr>
        <w:t>   </w:t>
      </w:r>
      <w:r w:rsidRPr="00F50B51">
        <w:rPr>
          <w:rFonts w:cs="Times New Roman" w:hint="eastAsia"/>
          <w:sz w:val="21"/>
          <w:szCs w:val="21"/>
        </w:rPr>
        <w:t>本公司按长期借款的借款条件对长期借款进行分类。</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其他说明，包括利率区间：</w:t>
      </w:r>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以上保证、质押借款的借款利率为</w:t>
      </w:r>
      <w:r w:rsidRPr="00F50B51">
        <w:rPr>
          <w:rFonts w:ascii="Times New Roman" w:hAnsi="Times New Roman" w:cs="Times New Roman"/>
          <w:sz w:val="21"/>
          <w:szCs w:val="21"/>
        </w:rPr>
        <w:t>5.225</w:t>
      </w:r>
      <w:r w:rsidRPr="00F50B51">
        <w:rPr>
          <w:rFonts w:ascii="Times New Roman" w:hAnsi="Times New Roman" w:cs="Times New Roman"/>
          <w:sz w:val="21"/>
          <w:szCs w:val="21"/>
        </w:rPr>
        <w:t>%</w:t>
      </w:r>
      <w:r w:rsidRPr="00F50B51">
        <w:rPr>
          <w:rFonts w:cs="Times New Roman" w:hint="eastAsia"/>
          <w:sz w:val="21"/>
          <w:szCs w:val="21"/>
        </w:rPr>
        <w:t>；保证、抵押借款的借款利率为</w:t>
      </w:r>
      <w:r w:rsidRPr="00F50B51">
        <w:rPr>
          <w:rFonts w:ascii="Times New Roman" w:hAnsi="Times New Roman" w:cs="Times New Roman"/>
          <w:sz w:val="21"/>
          <w:szCs w:val="21"/>
        </w:rPr>
        <w:t>5.376%</w:t>
      </w:r>
      <w:r w:rsidRPr="00F50B51">
        <w:rPr>
          <w:rFonts w:cs="Times New Roman" w:hint="eastAsia"/>
          <w:sz w:val="21"/>
          <w:szCs w:val="21"/>
        </w:rPr>
        <w:t>；保证借款的借款利率为</w:t>
      </w:r>
      <w:r w:rsidRPr="00F50B51">
        <w:rPr>
          <w:rFonts w:ascii="Times New Roman" w:hAnsi="Times New Roman" w:cs="Times New Roman"/>
          <w:sz w:val="21"/>
          <w:szCs w:val="21"/>
        </w:rPr>
        <w:t>6.275%</w:t>
      </w:r>
      <w:r w:rsidRPr="00F50B51">
        <w:rPr>
          <w:rFonts w:cs="Times New Roman" w:hint="eastAsia"/>
          <w:sz w:val="21"/>
          <w:szCs w:val="21"/>
        </w:rPr>
        <w:t>。</w:t>
      </w:r>
    </w:p>
    <w:p w:rsidR="0058782B" w:rsidRPr="00F50B51" w:rsidRDefault="00F80EE7">
      <w:pPr>
        <w:pStyle w:val="3"/>
        <w:spacing w:line="280" w:lineRule="exact"/>
        <w:jc w:val="left"/>
        <w:rPr>
          <w:rFonts w:ascii="宋体" w:hAnsi="宋体" w:cs="宋体"/>
          <w:b/>
          <w:bCs/>
        </w:rPr>
      </w:pPr>
      <w:bookmarkStart w:id="304" w:name="_Toc989192"/>
      <w:r w:rsidRPr="00F50B51">
        <w:rPr>
          <w:rFonts w:ascii="宋体" w:hAnsi="宋体" w:cs="宋体"/>
          <w:b/>
          <w:bCs/>
        </w:rPr>
        <w:t>46</w:t>
      </w:r>
      <w:r w:rsidRPr="00F50B51">
        <w:rPr>
          <w:rFonts w:ascii="宋体" w:hAnsi="宋体" w:cs="宋体"/>
          <w:b/>
          <w:bCs/>
        </w:rPr>
        <w:t>、应付债券</w:t>
      </w:r>
      <w:bookmarkEnd w:id="304"/>
    </w:p>
    <w:p w:rsidR="0058782B" w:rsidRPr="00F50B51" w:rsidRDefault="00F80EE7">
      <w:pPr>
        <w:keepNext/>
        <w:keepLines/>
        <w:spacing w:before="300" w:after="300" w:line="280" w:lineRule="exact"/>
        <w:outlineLvl w:val="3"/>
        <w:rPr>
          <w:rFonts w:ascii="宋体" w:eastAsia="宋体" w:hAnsi="宋体" w:cs="宋体"/>
          <w:b/>
          <w:bCs/>
          <w:szCs w:val="21"/>
        </w:rPr>
      </w:pPr>
      <w:bookmarkStart w:id="305" w:name="_Toc989193"/>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应付债券</w:t>
      </w:r>
      <w:bookmarkEnd w:id="30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可转换公司债券</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273,371,124.85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265,001,933.79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273,371,124.85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265,001,933.79</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306" w:name="_Toc989194"/>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应付债券的增减变动（不包括划分为金融负债的优先股、永续债等其他金融工具）</w:t>
      </w:r>
      <w:bookmarkEnd w:id="30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04"/>
        <w:gridCol w:w="804"/>
        <w:gridCol w:w="803"/>
        <w:gridCol w:w="804"/>
        <w:gridCol w:w="803"/>
        <w:gridCol w:w="803"/>
        <w:gridCol w:w="803"/>
        <w:gridCol w:w="803"/>
        <w:gridCol w:w="803"/>
        <w:gridCol w:w="803"/>
        <w:gridCol w:w="803"/>
        <w:gridCol w:w="803"/>
      </w:tblGrid>
      <w:tr w:rsidR="0058782B" w:rsidRPr="00F50B51">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债券名称</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面值</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发行日期</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债券期限</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发行金额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本期发行</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按面值计提利息</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溢折价摊销</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本期偿还</w:t>
            </w: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翔鹭转债</w:t>
            </w: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2019/8/20</w:t>
            </w: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6</w:t>
            </w:r>
            <w:r w:rsidRPr="00F50B51">
              <w:rPr>
                <w:rFonts w:ascii="宋体" w:eastAsia="宋体" w:hAnsi="宋体" w:cs="宋体"/>
                <w:sz w:val="18"/>
                <w:szCs w:val="18"/>
              </w:rPr>
              <w:t>年</w:t>
            </w: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301,922,300.00</w:t>
            </w: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265,001,933.79</w:t>
            </w: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8,369,191.06</w:t>
            </w: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273,371,124.85</w:t>
            </w:r>
          </w:p>
        </w:tc>
      </w:tr>
      <w:tr w:rsidR="0058782B" w:rsidRPr="00F50B51">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241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301,922,300.00</w:t>
            </w: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265,001,933.79</w:t>
            </w: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8,369,191.06</w:t>
            </w: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273,371,124.85</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307" w:name="_Toc989195"/>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可转换公司债券的转股条件、转股时间说明</w:t>
      </w:r>
      <w:bookmarkEnd w:id="307"/>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本次发行的可转换公司债券的期限为自发行之日起</w:t>
      </w:r>
      <w:r w:rsidRPr="00F50B51">
        <w:rPr>
          <w:rFonts w:ascii="Times New Roman" w:hAnsi="Times New Roman" w:cs="Times New Roman"/>
          <w:sz w:val="21"/>
          <w:szCs w:val="21"/>
        </w:rPr>
        <w:t>6</w:t>
      </w:r>
      <w:r w:rsidRPr="00F50B51">
        <w:rPr>
          <w:rFonts w:cs="Times New Roman" w:hint="eastAsia"/>
          <w:sz w:val="21"/>
          <w:szCs w:val="21"/>
        </w:rPr>
        <w:t>年，即自</w:t>
      </w:r>
      <w:r w:rsidRPr="00F50B51">
        <w:rPr>
          <w:rFonts w:ascii="Times New Roman" w:hAnsi="Times New Roman" w:cs="Times New Roman"/>
          <w:sz w:val="21"/>
          <w:szCs w:val="21"/>
        </w:rPr>
        <w:t>2019</w:t>
      </w:r>
      <w:r w:rsidRPr="00F50B51">
        <w:rPr>
          <w:rFonts w:cs="Times New Roman" w:hint="eastAsia"/>
          <w:sz w:val="21"/>
          <w:szCs w:val="21"/>
        </w:rPr>
        <w:t>年</w:t>
      </w:r>
      <w:r w:rsidRPr="00F50B51">
        <w:rPr>
          <w:rFonts w:ascii="Times New Roman" w:hAnsi="Times New Roman" w:cs="Times New Roman"/>
          <w:sz w:val="21"/>
          <w:szCs w:val="21"/>
        </w:rPr>
        <w:t>8</w:t>
      </w:r>
      <w:r w:rsidRPr="00F50B51">
        <w:rPr>
          <w:rFonts w:cs="Times New Roman" w:hint="eastAsia"/>
          <w:sz w:val="21"/>
          <w:szCs w:val="21"/>
        </w:rPr>
        <w:t>月</w:t>
      </w:r>
      <w:r w:rsidRPr="00F50B51">
        <w:rPr>
          <w:rFonts w:ascii="Times New Roman" w:hAnsi="Times New Roman" w:cs="Times New Roman"/>
          <w:sz w:val="21"/>
          <w:szCs w:val="21"/>
        </w:rPr>
        <w:t>20</w:t>
      </w:r>
      <w:r w:rsidRPr="00F50B51">
        <w:rPr>
          <w:rFonts w:cs="Times New Roman" w:hint="eastAsia"/>
          <w:sz w:val="21"/>
          <w:szCs w:val="21"/>
        </w:rPr>
        <w:t>日至</w:t>
      </w:r>
      <w:r w:rsidRPr="00F50B51">
        <w:rPr>
          <w:rFonts w:ascii="Times New Roman" w:hAnsi="Times New Roman" w:cs="Times New Roman"/>
          <w:sz w:val="21"/>
          <w:szCs w:val="21"/>
        </w:rPr>
        <w:t>2025</w:t>
      </w:r>
      <w:r w:rsidRPr="00F50B51">
        <w:rPr>
          <w:rFonts w:cs="Times New Roman" w:hint="eastAsia"/>
          <w:sz w:val="21"/>
          <w:szCs w:val="21"/>
        </w:rPr>
        <w:t>年</w:t>
      </w:r>
      <w:r w:rsidRPr="00F50B51">
        <w:rPr>
          <w:rFonts w:ascii="Times New Roman" w:hAnsi="Times New Roman" w:cs="Times New Roman"/>
          <w:sz w:val="21"/>
          <w:szCs w:val="21"/>
        </w:rPr>
        <w:t>8</w:t>
      </w:r>
      <w:r w:rsidRPr="00F50B51">
        <w:rPr>
          <w:rFonts w:cs="Times New Roman" w:hint="eastAsia"/>
          <w:sz w:val="21"/>
          <w:szCs w:val="21"/>
        </w:rPr>
        <w:t>月</w:t>
      </w:r>
      <w:r w:rsidRPr="00F50B51">
        <w:rPr>
          <w:rFonts w:ascii="Times New Roman" w:hAnsi="Times New Roman" w:cs="Times New Roman"/>
          <w:sz w:val="21"/>
          <w:szCs w:val="21"/>
        </w:rPr>
        <w:t>19</w:t>
      </w:r>
      <w:r w:rsidRPr="00F50B51">
        <w:rPr>
          <w:rFonts w:cs="Times New Roman" w:hint="eastAsia"/>
          <w:sz w:val="21"/>
          <w:szCs w:val="21"/>
        </w:rPr>
        <w:t>日止；转股期自可转债发行结束之日</w:t>
      </w:r>
      <w:r w:rsidRPr="00F50B51">
        <w:rPr>
          <w:rFonts w:ascii="Times New Roman" w:hAnsi="Times New Roman" w:cs="Times New Roman"/>
          <w:sz w:val="21"/>
          <w:szCs w:val="21"/>
        </w:rPr>
        <w:t>2019</w:t>
      </w:r>
      <w:r w:rsidRPr="00F50B51">
        <w:rPr>
          <w:rFonts w:cs="Times New Roman" w:hint="eastAsia"/>
          <w:sz w:val="21"/>
          <w:szCs w:val="21"/>
        </w:rPr>
        <w:t>年</w:t>
      </w:r>
      <w:r w:rsidRPr="00F50B51">
        <w:rPr>
          <w:rFonts w:ascii="Times New Roman" w:hAnsi="Times New Roman" w:cs="Times New Roman"/>
          <w:sz w:val="21"/>
          <w:szCs w:val="21"/>
        </w:rPr>
        <w:t>8</w:t>
      </w:r>
      <w:r w:rsidRPr="00F50B51">
        <w:rPr>
          <w:rFonts w:cs="Times New Roman" w:hint="eastAsia"/>
          <w:sz w:val="21"/>
          <w:szCs w:val="21"/>
        </w:rPr>
        <w:t>月</w:t>
      </w:r>
      <w:r w:rsidRPr="00F50B51">
        <w:rPr>
          <w:rFonts w:ascii="Times New Roman" w:hAnsi="Times New Roman" w:cs="Times New Roman"/>
          <w:sz w:val="21"/>
          <w:szCs w:val="21"/>
        </w:rPr>
        <w:t>26</w:t>
      </w:r>
      <w:r w:rsidRPr="00F50B51">
        <w:rPr>
          <w:rFonts w:cs="Times New Roman" w:hint="eastAsia"/>
          <w:sz w:val="21"/>
          <w:szCs w:val="21"/>
        </w:rPr>
        <w:t>日起满</w:t>
      </w:r>
      <w:r w:rsidRPr="00F50B51">
        <w:rPr>
          <w:rFonts w:ascii="Times New Roman" w:hAnsi="Times New Roman" w:cs="Times New Roman"/>
          <w:sz w:val="21"/>
          <w:szCs w:val="21"/>
        </w:rPr>
        <w:t>6</w:t>
      </w:r>
      <w:r w:rsidRPr="00F50B51">
        <w:rPr>
          <w:rFonts w:cs="Times New Roman" w:hint="eastAsia"/>
          <w:sz w:val="21"/>
          <w:szCs w:val="21"/>
        </w:rPr>
        <w:t>个月后的第一个交易日起至可转换债到期日止，即自</w:t>
      </w:r>
      <w:r w:rsidRPr="00F50B51">
        <w:rPr>
          <w:rFonts w:ascii="Times New Roman" w:hAnsi="Times New Roman" w:cs="Times New Roman"/>
          <w:sz w:val="21"/>
          <w:szCs w:val="21"/>
        </w:rPr>
        <w:t>2020</w:t>
      </w:r>
      <w:r w:rsidRPr="00F50B51">
        <w:rPr>
          <w:rFonts w:cs="Times New Roman" w:hint="eastAsia"/>
          <w:sz w:val="21"/>
          <w:szCs w:val="21"/>
        </w:rPr>
        <w:t>年</w:t>
      </w:r>
      <w:r w:rsidRPr="00F50B51">
        <w:rPr>
          <w:rFonts w:ascii="Times New Roman" w:hAnsi="Times New Roman" w:cs="Times New Roman"/>
          <w:sz w:val="21"/>
          <w:szCs w:val="21"/>
        </w:rPr>
        <w:t>2</w:t>
      </w:r>
      <w:r w:rsidRPr="00F50B51">
        <w:rPr>
          <w:rFonts w:cs="Times New Roman" w:hint="eastAsia"/>
          <w:sz w:val="21"/>
          <w:szCs w:val="21"/>
        </w:rPr>
        <w:t>月</w:t>
      </w:r>
      <w:r w:rsidRPr="00F50B51">
        <w:rPr>
          <w:rFonts w:ascii="Times New Roman" w:hAnsi="Times New Roman" w:cs="Times New Roman"/>
          <w:sz w:val="21"/>
          <w:szCs w:val="21"/>
        </w:rPr>
        <w:t>26</w:t>
      </w:r>
      <w:r w:rsidRPr="00F50B51">
        <w:rPr>
          <w:rFonts w:cs="Times New Roman" w:hint="eastAsia"/>
          <w:sz w:val="21"/>
          <w:szCs w:val="21"/>
        </w:rPr>
        <w:t>日至</w:t>
      </w:r>
      <w:r w:rsidRPr="00F50B51">
        <w:rPr>
          <w:rFonts w:ascii="Times New Roman" w:hAnsi="Times New Roman" w:cs="Times New Roman"/>
          <w:sz w:val="21"/>
          <w:szCs w:val="21"/>
        </w:rPr>
        <w:t>2025</w:t>
      </w:r>
      <w:r w:rsidRPr="00F50B51">
        <w:rPr>
          <w:rFonts w:cs="Times New Roman" w:hint="eastAsia"/>
          <w:sz w:val="21"/>
          <w:szCs w:val="21"/>
        </w:rPr>
        <w:t>年</w:t>
      </w:r>
      <w:r w:rsidRPr="00F50B51">
        <w:rPr>
          <w:rFonts w:ascii="Times New Roman" w:hAnsi="Times New Roman" w:cs="Times New Roman"/>
          <w:sz w:val="21"/>
          <w:szCs w:val="21"/>
        </w:rPr>
        <w:t>8</w:t>
      </w:r>
      <w:r w:rsidRPr="00F50B51">
        <w:rPr>
          <w:rFonts w:cs="Times New Roman" w:hint="eastAsia"/>
          <w:sz w:val="21"/>
          <w:szCs w:val="21"/>
        </w:rPr>
        <w:t>月</w:t>
      </w:r>
      <w:r w:rsidRPr="00F50B51">
        <w:rPr>
          <w:rFonts w:ascii="Times New Roman" w:hAnsi="Times New Roman" w:cs="Times New Roman"/>
          <w:sz w:val="21"/>
          <w:szCs w:val="21"/>
        </w:rPr>
        <w:t>19</w:t>
      </w:r>
      <w:r w:rsidRPr="00F50B51">
        <w:rPr>
          <w:rFonts w:cs="Times New Roman" w:hint="eastAsia"/>
          <w:sz w:val="21"/>
          <w:szCs w:val="21"/>
        </w:rPr>
        <w:t>日止。可转换公司债券的初始转股价格为人民币</w:t>
      </w:r>
      <w:r w:rsidRPr="00F50B51">
        <w:rPr>
          <w:rFonts w:cs="Times New Roman" w:hint="eastAsia"/>
          <w:sz w:val="21"/>
          <w:szCs w:val="21"/>
        </w:rPr>
        <w:t xml:space="preserve"> </w:t>
      </w:r>
      <w:r w:rsidRPr="00F50B51">
        <w:rPr>
          <w:rFonts w:ascii="Times New Roman" w:hAnsi="Times New Roman" w:cs="Times New Roman"/>
          <w:sz w:val="21"/>
          <w:szCs w:val="21"/>
        </w:rPr>
        <w:t>15.36</w:t>
      </w:r>
      <w:r w:rsidRPr="00F50B51">
        <w:rPr>
          <w:rFonts w:cs="Times New Roman" w:hint="eastAsia"/>
          <w:sz w:val="21"/>
          <w:szCs w:val="21"/>
        </w:rPr>
        <w:t>元</w:t>
      </w:r>
      <w:r w:rsidRPr="00F50B51">
        <w:rPr>
          <w:rFonts w:ascii="Times New Roman" w:hAnsi="Times New Roman" w:cs="Times New Roman"/>
          <w:sz w:val="21"/>
          <w:szCs w:val="21"/>
        </w:rPr>
        <w:t>/</w:t>
      </w:r>
      <w:r w:rsidRPr="00F50B51">
        <w:rPr>
          <w:rFonts w:cs="Times New Roman" w:hint="eastAsia"/>
          <w:sz w:val="21"/>
          <w:szCs w:val="21"/>
        </w:rPr>
        <w:t>股。</w:t>
      </w:r>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本次发行的可转换公司债券的票面利率为第一年</w:t>
      </w:r>
      <w:r w:rsidRPr="00F50B51">
        <w:rPr>
          <w:rFonts w:ascii="Times New Roman" w:hAnsi="Times New Roman" w:cs="Times New Roman"/>
          <w:sz w:val="21"/>
          <w:szCs w:val="21"/>
        </w:rPr>
        <w:t>0.40%</w:t>
      </w:r>
      <w:r w:rsidRPr="00F50B51">
        <w:rPr>
          <w:rFonts w:cs="Times New Roman" w:hint="eastAsia"/>
          <w:sz w:val="21"/>
          <w:szCs w:val="21"/>
        </w:rPr>
        <w:t>、第二年</w:t>
      </w:r>
      <w:r w:rsidRPr="00F50B51">
        <w:rPr>
          <w:rFonts w:ascii="Times New Roman" w:hAnsi="Times New Roman" w:cs="Times New Roman"/>
          <w:sz w:val="21"/>
          <w:szCs w:val="21"/>
        </w:rPr>
        <w:t>0.60%</w:t>
      </w:r>
      <w:r w:rsidRPr="00F50B51">
        <w:rPr>
          <w:rFonts w:cs="Times New Roman" w:hint="eastAsia"/>
          <w:sz w:val="21"/>
          <w:szCs w:val="21"/>
        </w:rPr>
        <w:t>、第三年</w:t>
      </w:r>
      <w:r w:rsidRPr="00F50B51">
        <w:rPr>
          <w:rFonts w:ascii="Times New Roman" w:hAnsi="Times New Roman" w:cs="Times New Roman"/>
          <w:sz w:val="21"/>
          <w:szCs w:val="21"/>
        </w:rPr>
        <w:t>1.00%</w:t>
      </w:r>
      <w:r w:rsidRPr="00F50B51">
        <w:rPr>
          <w:rFonts w:cs="Times New Roman" w:hint="eastAsia"/>
          <w:sz w:val="21"/>
          <w:szCs w:val="21"/>
        </w:rPr>
        <w:t>、第四年</w:t>
      </w:r>
      <w:r w:rsidRPr="00F50B51">
        <w:rPr>
          <w:rFonts w:ascii="Times New Roman" w:hAnsi="Times New Roman" w:cs="Times New Roman"/>
          <w:sz w:val="21"/>
          <w:szCs w:val="21"/>
        </w:rPr>
        <w:t>1.50%</w:t>
      </w:r>
      <w:r w:rsidRPr="00F50B51">
        <w:rPr>
          <w:rFonts w:cs="Times New Roman" w:hint="eastAsia"/>
          <w:sz w:val="21"/>
          <w:szCs w:val="21"/>
        </w:rPr>
        <w:t>、第五年</w:t>
      </w:r>
      <w:r w:rsidRPr="00F50B51">
        <w:rPr>
          <w:rFonts w:ascii="Times New Roman" w:hAnsi="Times New Roman" w:cs="Times New Roman"/>
          <w:sz w:val="21"/>
          <w:szCs w:val="21"/>
        </w:rPr>
        <w:t>2.00%</w:t>
      </w:r>
      <w:r w:rsidRPr="00F50B51">
        <w:rPr>
          <w:rFonts w:cs="Times New Roman" w:hint="eastAsia"/>
          <w:sz w:val="21"/>
          <w:szCs w:val="21"/>
        </w:rPr>
        <w:t>、第六年</w:t>
      </w:r>
      <w:r w:rsidRPr="00F50B51">
        <w:rPr>
          <w:rFonts w:ascii="Times New Roman" w:hAnsi="Times New Roman" w:cs="Times New Roman"/>
          <w:sz w:val="21"/>
          <w:szCs w:val="21"/>
        </w:rPr>
        <w:t>2.50%</w:t>
      </w:r>
      <w:r w:rsidRPr="00F50B51">
        <w:rPr>
          <w:rFonts w:cs="Times New Roman" w:hint="eastAsia"/>
          <w:sz w:val="21"/>
          <w:szCs w:val="21"/>
        </w:rPr>
        <w:t>。每年的付息日为本次发行的可转债发行日起每满一年的当日，到期一次还本。</w:t>
      </w:r>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经中国证券监督管理委员会《关于核准广东翔鹭钨业股份有限公司公开发行可转换公司债券的批复》</w:t>
      </w:r>
      <w:r w:rsidRPr="00F50B51">
        <w:rPr>
          <w:rFonts w:ascii="Times New Roman" w:hAnsi="Times New Roman" w:cs="Times New Roman"/>
          <w:sz w:val="21"/>
          <w:szCs w:val="21"/>
        </w:rPr>
        <w:t>(</w:t>
      </w:r>
      <w:r w:rsidRPr="00F50B51">
        <w:rPr>
          <w:rFonts w:cs="Times New Roman" w:hint="eastAsia"/>
          <w:sz w:val="21"/>
          <w:szCs w:val="21"/>
        </w:rPr>
        <w:t>证监许可</w:t>
      </w:r>
      <w:r w:rsidRPr="00F50B51">
        <w:rPr>
          <w:rFonts w:ascii="Times New Roman" w:hAnsi="Times New Roman" w:cs="Times New Roman"/>
          <w:sz w:val="21"/>
          <w:szCs w:val="21"/>
        </w:rPr>
        <w:t>[2019]1374)</w:t>
      </w:r>
      <w:r w:rsidRPr="00F50B51">
        <w:rPr>
          <w:rFonts w:cs="Times New Roman" w:hint="eastAsia"/>
          <w:sz w:val="21"/>
          <w:szCs w:val="21"/>
        </w:rPr>
        <w:t>核准，本公司于</w:t>
      </w:r>
      <w:r w:rsidRPr="00F50B51">
        <w:rPr>
          <w:rFonts w:ascii="Times New Roman" w:hAnsi="Times New Roman" w:cs="Times New Roman"/>
          <w:sz w:val="21"/>
          <w:szCs w:val="21"/>
        </w:rPr>
        <w:t>2019</w:t>
      </w:r>
      <w:r w:rsidRPr="00F50B51">
        <w:rPr>
          <w:rFonts w:cs="Times New Roman" w:hint="eastAsia"/>
          <w:sz w:val="21"/>
          <w:szCs w:val="21"/>
        </w:rPr>
        <w:t>年</w:t>
      </w:r>
      <w:r w:rsidRPr="00F50B51">
        <w:rPr>
          <w:rFonts w:ascii="Times New Roman" w:hAnsi="Times New Roman" w:cs="Times New Roman"/>
          <w:sz w:val="21"/>
          <w:szCs w:val="21"/>
        </w:rPr>
        <w:t>8</w:t>
      </w:r>
      <w:r w:rsidRPr="00F50B51">
        <w:rPr>
          <w:rFonts w:cs="Times New Roman" w:hint="eastAsia"/>
          <w:sz w:val="21"/>
          <w:szCs w:val="21"/>
        </w:rPr>
        <w:t>月</w:t>
      </w:r>
      <w:r w:rsidRPr="00F50B51">
        <w:rPr>
          <w:rFonts w:ascii="Times New Roman" w:hAnsi="Times New Roman" w:cs="Times New Roman"/>
          <w:sz w:val="21"/>
          <w:szCs w:val="21"/>
        </w:rPr>
        <w:t>20</w:t>
      </w:r>
      <w:r w:rsidRPr="00F50B51">
        <w:rPr>
          <w:rFonts w:cs="Times New Roman" w:hint="eastAsia"/>
          <w:sz w:val="21"/>
          <w:szCs w:val="21"/>
        </w:rPr>
        <w:t>日公开发行了</w:t>
      </w:r>
      <w:r w:rsidRPr="00F50B51">
        <w:rPr>
          <w:rFonts w:ascii="Times New Roman" w:hAnsi="Times New Roman" w:cs="Times New Roman"/>
          <w:sz w:val="21"/>
          <w:szCs w:val="21"/>
        </w:rPr>
        <w:t>3,019,223</w:t>
      </w:r>
      <w:r w:rsidRPr="00F50B51">
        <w:rPr>
          <w:rFonts w:cs="Times New Roman" w:hint="eastAsia"/>
          <w:sz w:val="21"/>
          <w:szCs w:val="21"/>
        </w:rPr>
        <w:t>张可转换公司债券，每张面值</w:t>
      </w:r>
      <w:r w:rsidRPr="00F50B51">
        <w:rPr>
          <w:rFonts w:ascii="Times New Roman" w:hAnsi="Times New Roman" w:cs="Times New Roman"/>
          <w:sz w:val="21"/>
          <w:szCs w:val="21"/>
        </w:rPr>
        <w:t>100</w:t>
      </w:r>
      <w:r w:rsidRPr="00F50B51">
        <w:rPr>
          <w:rFonts w:cs="Times New Roman" w:hint="eastAsia"/>
          <w:sz w:val="21"/>
          <w:szCs w:val="21"/>
        </w:rPr>
        <w:t>元，发行总额</w:t>
      </w:r>
      <w:r w:rsidRPr="00F50B51">
        <w:rPr>
          <w:rFonts w:ascii="Times New Roman" w:hAnsi="Times New Roman" w:cs="Times New Roman"/>
          <w:sz w:val="21"/>
          <w:szCs w:val="21"/>
        </w:rPr>
        <w:t>30,192.23</w:t>
      </w:r>
      <w:r w:rsidRPr="00F50B51">
        <w:rPr>
          <w:rFonts w:cs="Times New Roman" w:hint="eastAsia"/>
          <w:sz w:val="21"/>
          <w:szCs w:val="21"/>
        </w:rPr>
        <w:t>万元。</w:t>
      </w:r>
    </w:p>
    <w:p w:rsidR="0058782B" w:rsidRPr="00F50B51" w:rsidRDefault="00F80EE7">
      <w:pPr>
        <w:keepNext/>
        <w:keepLines/>
        <w:spacing w:before="300" w:after="300" w:line="280" w:lineRule="exact"/>
        <w:outlineLvl w:val="3"/>
        <w:rPr>
          <w:rFonts w:ascii="宋体" w:eastAsia="宋体" w:hAnsi="宋体" w:cs="宋体"/>
          <w:b/>
          <w:bCs/>
          <w:szCs w:val="21"/>
        </w:rPr>
      </w:pPr>
      <w:bookmarkStart w:id="308" w:name="_Toc989196"/>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划分为金融负债的其他金融工具说明</w:t>
      </w:r>
      <w:bookmarkEnd w:id="308"/>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期末发行在外的优先股、永续债等其他金融工具基本情况</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期末发行在外的优先股、永续债等金融工具变动情况表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发行在外的金融工具</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w:t>
            </w:r>
          </w:p>
        </w:tc>
      </w:tr>
      <w:tr w:rsidR="0058782B" w:rsidRPr="00F50B51">
        <w:trPr>
          <w:trHeight w:val="240"/>
        </w:trPr>
        <w:tc>
          <w:tcPr>
            <w:tcW w:w="1071" w:type="dxa"/>
            <w:vMerge/>
            <w:tcBorders>
              <w:top w:val="single" w:sz="2" w:space="0" w:color="auto"/>
              <w:left w:val="single" w:sz="2" w:space="0" w:color="auto"/>
              <w:bottom w:val="single" w:sz="2" w:space="0" w:color="auto"/>
              <w:right w:val="single" w:sz="2" w:space="0" w:color="auto"/>
            </w:tcBorders>
            <w:vAlign w:val="center"/>
          </w:tcPr>
          <w:p w:rsidR="0058782B" w:rsidRPr="00F50B51" w:rsidRDefault="0058782B"/>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其他金融工具划分为金融负债的依据说明</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09" w:name="_Toc989197"/>
      <w:r w:rsidRPr="00F50B51">
        <w:rPr>
          <w:rFonts w:ascii="宋体" w:hAnsi="宋体" w:cs="宋体"/>
          <w:b/>
          <w:bCs/>
        </w:rPr>
        <w:t>47</w:t>
      </w:r>
      <w:r w:rsidRPr="00F50B51">
        <w:rPr>
          <w:rFonts w:ascii="宋体" w:hAnsi="宋体" w:cs="宋体"/>
          <w:b/>
          <w:bCs/>
        </w:rPr>
        <w:t>、租赁负债</w:t>
      </w:r>
      <w:bookmarkEnd w:id="30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10" w:name="_Toc989198"/>
      <w:r w:rsidRPr="00F50B51">
        <w:rPr>
          <w:rFonts w:ascii="宋体" w:hAnsi="宋体" w:cs="宋体"/>
          <w:b/>
          <w:bCs/>
        </w:rPr>
        <w:t>48</w:t>
      </w:r>
      <w:r w:rsidRPr="00F50B51">
        <w:rPr>
          <w:rFonts w:ascii="宋体" w:hAnsi="宋体" w:cs="宋体"/>
          <w:b/>
          <w:bCs/>
        </w:rPr>
        <w:t>、长期应付款</w:t>
      </w:r>
      <w:bookmarkEnd w:id="31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专项应付款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11" w:name="_Toc989199"/>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按款项性质列示长期应付款</w:t>
      </w:r>
      <w:bookmarkEnd w:id="31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12" w:name="_Toc989200"/>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专项应付款</w:t>
      </w:r>
      <w:bookmarkEnd w:id="31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形成原因</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表面超强化材料的梯度设计、构筑与极端环境应用基础研究</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2,100,000.00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2,100,000.00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广东省科学技术厅</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潮州市人力资源和社会保障局博士工作站启动经费</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潮州市人力资源和社会保障局</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2,600,000.00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2,600,000.00</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13" w:name="_Toc989201"/>
      <w:r w:rsidRPr="00F50B51">
        <w:rPr>
          <w:rFonts w:ascii="宋体" w:hAnsi="宋体" w:cs="宋体"/>
          <w:b/>
          <w:bCs/>
        </w:rPr>
        <w:t>49</w:t>
      </w:r>
      <w:r w:rsidRPr="00F50B51">
        <w:rPr>
          <w:rFonts w:ascii="宋体" w:hAnsi="宋体" w:cs="宋体"/>
          <w:b/>
          <w:bCs/>
        </w:rPr>
        <w:t>、长期应付职工薪酬</w:t>
      </w:r>
      <w:bookmarkEnd w:id="313"/>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14" w:name="_Toc989202"/>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长期应付职工薪酬表</w:t>
      </w:r>
      <w:bookmarkEnd w:id="31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15" w:name="_Toc989203"/>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设定受益计划变动情况</w:t>
      </w:r>
      <w:bookmarkEnd w:id="315"/>
    </w:p>
    <w:p w:rsidR="0058782B" w:rsidRPr="00F50B51" w:rsidRDefault="00F80EE7">
      <w:pPr>
        <w:spacing w:before="120" w:after="120" w:line="240" w:lineRule="exact"/>
        <w:rPr>
          <w:rFonts w:ascii="宋体" w:eastAsia="宋体" w:hAnsi="宋体" w:cs="宋体"/>
          <w:sz w:val="18"/>
          <w:szCs w:val="18"/>
        </w:rPr>
      </w:pPr>
      <w:r w:rsidRPr="00F50B51">
        <w:rPr>
          <w:rFonts w:ascii="宋体" w:eastAsia="宋体" w:hAnsi="宋体" w:cs="宋体"/>
          <w:sz w:val="18"/>
          <w:szCs w:val="18"/>
        </w:rPr>
        <w:t>设定受益计划义务现值：</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计划资产：</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设定受益计划净负债（净资产）</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设定受益计划的内容及与之相关风险、对公司未来现金流量、时间和不确定性的影响说明：</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设定受益计划重大精算假设及敏感性分析结果说明：</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16" w:name="_Toc989204"/>
      <w:r w:rsidRPr="00F50B51">
        <w:rPr>
          <w:rFonts w:ascii="宋体" w:hAnsi="宋体" w:cs="宋体"/>
          <w:b/>
          <w:bCs/>
        </w:rPr>
        <w:t>50</w:t>
      </w:r>
      <w:r w:rsidRPr="00F50B51">
        <w:rPr>
          <w:rFonts w:ascii="宋体" w:hAnsi="宋体" w:cs="宋体"/>
          <w:b/>
          <w:bCs/>
        </w:rPr>
        <w:t>、预计负债</w:t>
      </w:r>
      <w:bookmarkEnd w:id="31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形成原因</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其他说明，包括重要预计负债的相关重要假设、估计说明：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17" w:name="_Toc989205"/>
      <w:r w:rsidRPr="00F50B51">
        <w:rPr>
          <w:rFonts w:ascii="宋体" w:hAnsi="宋体" w:cs="宋体"/>
          <w:b/>
          <w:bCs/>
        </w:rPr>
        <w:t>51</w:t>
      </w:r>
      <w:r w:rsidRPr="00F50B51">
        <w:rPr>
          <w:rFonts w:ascii="宋体" w:hAnsi="宋体" w:cs="宋体"/>
          <w:b/>
          <w:bCs/>
        </w:rPr>
        <w:t>、递延收益</w:t>
      </w:r>
      <w:bookmarkEnd w:id="31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形成原因</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政府补助</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6,705,037.22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1,600,302.21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5,104,735.01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与资产相关的政府补助</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6,705,037.22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1,600,302.21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5,104,735.01</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涉及政府补助的项目：</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负债项目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本期新增补助金额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本期计入营业外收入金额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本期计入其他收益金额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本期冲减成本费用金额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与资产相关</w:t>
            </w:r>
            <w:r w:rsidRPr="00F50B51">
              <w:rPr>
                <w:rFonts w:ascii="宋体" w:eastAsia="宋体" w:hAnsi="宋体" w:cs="宋体"/>
                <w:sz w:val="18"/>
                <w:szCs w:val="18"/>
              </w:rPr>
              <w:t>/</w:t>
            </w:r>
            <w:r w:rsidRPr="00F50B51">
              <w:rPr>
                <w:rFonts w:ascii="宋体" w:eastAsia="宋体" w:hAnsi="宋体" w:cs="宋体"/>
                <w:sz w:val="18"/>
                <w:szCs w:val="18"/>
              </w:rPr>
              <w:t>与收益相关</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高性能超细碳化钨循环技术改造项目</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1,166,666.49</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1,000,000.02</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166,666.47</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与资产相关</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新型十五管还原炉双层推舟结构技术改造项目</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60,000.00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与资产相关</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年产</w:t>
            </w:r>
            <w:r w:rsidRPr="00F50B51">
              <w:rPr>
                <w:rFonts w:ascii="宋体" w:eastAsia="宋体" w:hAnsi="宋体" w:cs="宋体"/>
                <w:sz w:val="18"/>
                <w:szCs w:val="18"/>
              </w:rPr>
              <w:t>3000</w:t>
            </w:r>
            <w:r w:rsidRPr="00F50B51">
              <w:rPr>
                <w:rFonts w:ascii="宋体" w:eastAsia="宋体" w:hAnsi="宋体" w:cs="宋体"/>
                <w:sz w:val="18"/>
                <w:szCs w:val="18"/>
              </w:rPr>
              <w:t>吨高性能碳化钨循环技改扩建项目</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1,920,000.00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240,000.00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1,680,000.00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与资产相关</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200t/a</w:t>
            </w:r>
            <w:r w:rsidRPr="00F50B51">
              <w:rPr>
                <w:rFonts w:ascii="宋体" w:eastAsia="宋体" w:hAnsi="宋体" w:cs="宋体"/>
                <w:sz w:val="18"/>
                <w:szCs w:val="18"/>
              </w:rPr>
              <w:t>硬质合金研发生产线技术改造项目</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730,753.33</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78,295.00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652,458.33</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与资产相关</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2016</w:t>
            </w:r>
            <w:r w:rsidRPr="00F50B51">
              <w:rPr>
                <w:rFonts w:ascii="宋体" w:eastAsia="宋体" w:hAnsi="宋体" w:cs="宋体"/>
                <w:sz w:val="18"/>
                <w:szCs w:val="18"/>
              </w:rPr>
              <w:t>年省级工业与信息发展专项资金</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132,043.07</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22,007.19</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110,035.88</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与资产相关</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2017</w:t>
            </w:r>
            <w:r w:rsidRPr="00F50B51">
              <w:rPr>
                <w:rFonts w:ascii="宋体" w:eastAsia="宋体" w:hAnsi="宋体" w:cs="宋体"/>
                <w:sz w:val="18"/>
                <w:szCs w:val="18"/>
              </w:rPr>
              <w:t>年省级治污保洁和节能减排专项资金</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550,000.00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与资产相关</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重金属污染防治专项资金</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1,118,074.23</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100,000.02</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1,018,074.21</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与资产相关</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2000T</w:t>
            </w:r>
            <w:r w:rsidRPr="00F50B51">
              <w:rPr>
                <w:rFonts w:ascii="宋体" w:eastAsia="宋体" w:hAnsi="宋体" w:cs="宋体"/>
                <w:sz w:val="18"/>
                <w:szCs w:val="18"/>
              </w:rPr>
              <w:t>特种碳化钨粉全自动智能化扩产增效技改项目</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12,500.00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7,500.00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与资产相关</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工业转型升级专项资金</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975,000.10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64,999.98</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910,000.12</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与资产相关</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6,705,037.22</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1,600,302.21</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5,104,735.01</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cs="Times New Roman" w:hint="eastAsia"/>
          <w:sz w:val="21"/>
          <w:szCs w:val="21"/>
        </w:rPr>
        <w:t>注：根据潮财工</w:t>
      </w:r>
      <w:r w:rsidRPr="00F50B51">
        <w:rPr>
          <w:rFonts w:ascii="Times New Roman" w:hAnsi="Times New Roman" w:cs="Times New Roman"/>
          <w:sz w:val="21"/>
          <w:szCs w:val="21"/>
        </w:rPr>
        <w:t>[2010]220</w:t>
      </w:r>
      <w:r w:rsidRPr="00F50B51">
        <w:rPr>
          <w:rFonts w:cs="Times New Roman" w:hint="eastAsia"/>
          <w:sz w:val="21"/>
          <w:szCs w:val="21"/>
        </w:rPr>
        <w:t>号《关于下达第一批战略性新兴产业发展专项资金（省财政安排）预算指标的通知》，潮州市财政局拨付专项资金</w:t>
      </w:r>
      <w:r w:rsidRPr="00F50B51">
        <w:rPr>
          <w:rFonts w:ascii="Times New Roman" w:hAnsi="Times New Roman" w:cs="Times New Roman"/>
          <w:sz w:val="21"/>
          <w:szCs w:val="21"/>
        </w:rPr>
        <w:t>20,000,000.00</w:t>
      </w:r>
      <w:r w:rsidRPr="00F50B51">
        <w:rPr>
          <w:rFonts w:cs="Times New Roman" w:hint="eastAsia"/>
          <w:sz w:val="21"/>
          <w:szCs w:val="21"/>
        </w:rPr>
        <w:t>元，用于高性能超细碳化钨循环技术改造项目，公司已于</w:t>
      </w:r>
      <w:r w:rsidRPr="00F50B51">
        <w:rPr>
          <w:rFonts w:ascii="Times New Roman" w:hAnsi="Times New Roman" w:cs="Times New Roman"/>
          <w:sz w:val="21"/>
          <w:szCs w:val="21"/>
        </w:rPr>
        <w:t>2011</w:t>
      </w:r>
      <w:r w:rsidRPr="00F50B51">
        <w:rPr>
          <w:rFonts w:cs="Times New Roman" w:hint="eastAsia"/>
          <w:sz w:val="21"/>
          <w:szCs w:val="21"/>
        </w:rPr>
        <w:t>年收到全部款项。</w:t>
      </w:r>
    </w:p>
    <w:p w:rsidR="0058782B" w:rsidRPr="00F50B51" w:rsidRDefault="00F80EE7">
      <w:pPr>
        <w:pStyle w:val="16"/>
        <w:spacing w:after="120" w:afterAutospacing="0" w:line="460" w:lineRule="atLeast"/>
        <w:ind w:firstLine="420"/>
        <w:rPr>
          <w:sz w:val="18"/>
          <w:szCs w:val="18"/>
        </w:rPr>
      </w:pPr>
      <w:r w:rsidRPr="00F50B51">
        <w:rPr>
          <w:rFonts w:cs="Times New Roman" w:hint="eastAsia"/>
          <w:sz w:val="21"/>
          <w:szCs w:val="21"/>
        </w:rPr>
        <w:t>根据安财工</w:t>
      </w:r>
      <w:r w:rsidRPr="00F50B51">
        <w:rPr>
          <w:rFonts w:ascii="Times New Roman" w:hAnsi="Times New Roman" w:cs="Times New Roman"/>
          <w:sz w:val="21"/>
          <w:szCs w:val="21"/>
        </w:rPr>
        <w:t>[2013]18</w:t>
      </w:r>
      <w:r w:rsidRPr="00F50B51">
        <w:rPr>
          <w:rFonts w:cs="Times New Roman" w:hint="eastAsia"/>
          <w:sz w:val="21"/>
          <w:szCs w:val="21"/>
        </w:rPr>
        <w:t>号《关于拨付</w:t>
      </w:r>
      <w:r w:rsidRPr="00F50B51">
        <w:rPr>
          <w:rFonts w:ascii="Times New Roman" w:hAnsi="Times New Roman" w:cs="Times New Roman"/>
          <w:sz w:val="21"/>
          <w:szCs w:val="21"/>
        </w:rPr>
        <w:t>2012</w:t>
      </w:r>
      <w:r w:rsidRPr="00F50B51">
        <w:rPr>
          <w:rFonts w:cs="Times New Roman" w:hint="eastAsia"/>
          <w:sz w:val="21"/>
          <w:szCs w:val="21"/>
        </w:rPr>
        <w:t>年省差别电价电费收入项目资金的通知》，潮州市财政局拨付专项资金</w:t>
      </w:r>
      <w:r w:rsidRPr="00F50B51">
        <w:rPr>
          <w:rFonts w:ascii="Times New Roman" w:hAnsi="Times New Roman" w:cs="Times New Roman"/>
          <w:sz w:val="21"/>
          <w:szCs w:val="21"/>
        </w:rPr>
        <w:t>800,000.00</w:t>
      </w:r>
      <w:r w:rsidRPr="00F50B51">
        <w:rPr>
          <w:rFonts w:cs="Times New Roman" w:hint="eastAsia"/>
          <w:sz w:val="21"/>
          <w:szCs w:val="21"/>
        </w:rPr>
        <w:t>元，用于新型十五管还原炉双层推舟结构技术改造项目，公司已于</w:t>
      </w:r>
      <w:r w:rsidRPr="00F50B51">
        <w:rPr>
          <w:rFonts w:ascii="Times New Roman" w:hAnsi="Times New Roman" w:cs="Times New Roman"/>
          <w:sz w:val="21"/>
          <w:szCs w:val="21"/>
        </w:rPr>
        <w:t>2013</w:t>
      </w:r>
      <w:r w:rsidRPr="00F50B51">
        <w:rPr>
          <w:rFonts w:cs="Times New Roman" w:hint="eastAsia"/>
          <w:sz w:val="21"/>
          <w:szCs w:val="21"/>
        </w:rPr>
        <w:t>年</w:t>
      </w:r>
      <w:r w:rsidRPr="00F50B51">
        <w:rPr>
          <w:rFonts w:ascii="Times New Roman" w:hAnsi="Times New Roman" w:cs="Times New Roman"/>
          <w:sz w:val="21"/>
          <w:szCs w:val="21"/>
        </w:rPr>
        <w:t>3</w:t>
      </w:r>
      <w:r w:rsidRPr="00F50B51">
        <w:rPr>
          <w:rFonts w:cs="Times New Roman" w:hint="eastAsia"/>
          <w:sz w:val="21"/>
          <w:szCs w:val="21"/>
        </w:rPr>
        <w:t>月收到全部款项。</w:t>
      </w:r>
    </w:p>
    <w:p w:rsidR="0058782B" w:rsidRPr="00F50B51" w:rsidRDefault="00F80EE7">
      <w:pPr>
        <w:pStyle w:val="16"/>
        <w:spacing w:after="120" w:afterAutospacing="0" w:line="460" w:lineRule="atLeast"/>
        <w:ind w:firstLine="420"/>
        <w:rPr>
          <w:sz w:val="18"/>
          <w:szCs w:val="18"/>
        </w:rPr>
      </w:pPr>
      <w:r w:rsidRPr="00F50B51">
        <w:rPr>
          <w:rFonts w:cs="Times New Roman" w:hint="eastAsia"/>
          <w:sz w:val="21"/>
          <w:szCs w:val="21"/>
        </w:rPr>
        <w:t>根据湘财企</w:t>
      </w:r>
      <w:r w:rsidRPr="00F50B51">
        <w:rPr>
          <w:rFonts w:ascii="Times New Roman" w:hAnsi="Times New Roman" w:cs="Times New Roman"/>
          <w:sz w:val="21"/>
          <w:szCs w:val="21"/>
        </w:rPr>
        <w:t>[2015]33</w:t>
      </w:r>
      <w:r w:rsidRPr="00F50B51">
        <w:rPr>
          <w:rFonts w:cs="Times New Roman" w:hint="eastAsia"/>
          <w:sz w:val="21"/>
          <w:szCs w:val="21"/>
        </w:rPr>
        <w:t>号《关于下达广东省省级产业结构调整专项资金省政府相关重点工作资金的通</w:t>
      </w:r>
      <w:r w:rsidRPr="00F50B51">
        <w:rPr>
          <w:rFonts w:cs="Times New Roman" w:hint="eastAsia"/>
          <w:sz w:val="21"/>
          <w:szCs w:val="21"/>
        </w:rPr>
        <w:t>知》，潮州市湘桥区财政局拨付专项资金</w:t>
      </w:r>
      <w:r w:rsidRPr="00F50B51">
        <w:rPr>
          <w:rFonts w:ascii="Times New Roman" w:hAnsi="Times New Roman" w:cs="Times New Roman"/>
          <w:sz w:val="21"/>
          <w:szCs w:val="21"/>
        </w:rPr>
        <w:t>4,800,000.00</w:t>
      </w:r>
      <w:r w:rsidRPr="00F50B51">
        <w:rPr>
          <w:rFonts w:cs="Times New Roman" w:hint="eastAsia"/>
          <w:sz w:val="21"/>
          <w:szCs w:val="21"/>
        </w:rPr>
        <w:t>元，用于年产</w:t>
      </w:r>
      <w:r w:rsidRPr="00F50B51">
        <w:rPr>
          <w:rFonts w:ascii="Times New Roman" w:hAnsi="Times New Roman" w:cs="Times New Roman"/>
          <w:sz w:val="21"/>
          <w:szCs w:val="21"/>
        </w:rPr>
        <w:t>3000</w:t>
      </w:r>
      <w:r w:rsidRPr="00F50B51">
        <w:rPr>
          <w:rFonts w:cs="Times New Roman" w:hint="eastAsia"/>
          <w:sz w:val="21"/>
          <w:szCs w:val="21"/>
        </w:rPr>
        <w:t>吨高性能碳化钨循环技改扩建项目，公司已于</w:t>
      </w:r>
      <w:r w:rsidRPr="00F50B51">
        <w:rPr>
          <w:rFonts w:ascii="Times New Roman" w:hAnsi="Times New Roman" w:cs="Times New Roman"/>
          <w:sz w:val="21"/>
          <w:szCs w:val="21"/>
        </w:rPr>
        <w:t>2015</w:t>
      </w:r>
      <w:r w:rsidRPr="00F50B51">
        <w:rPr>
          <w:rFonts w:cs="Times New Roman" w:hint="eastAsia"/>
          <w:sz w:val="21"/>
          <w:szCs w:val="21"/>
        </w:rPr>
        <w:t>年</w:t>
      </w:r>
      <w:r w:rsidRPr="00F50B51">
        <w:rPr>
          <w:rFonts w:ascii="Times New Roman" w:hAnsi="Times New Roman" w:cs="Times New Roman"/>
          <w:sz w:val="21"/>
          <w:szCs w:val="21"/>
        </w:rPr>
        <w:t>12</w:t>
      </w:r>
      <w:r w:rsidRPr="00F50B51">
        <w:rPr>
          <w:rFonts w:cs="Times New Roman" w:hint="eastAsia"/>
          <w:sz w:val="21"/>
          <w:szCs w:val="21"/>
        </w:rPr>
        <w:t>月收到全部款项。</w:t>
      </w:r>
    </w:p>
    <w:p w:rsidR="0058782B" w:rsidRPr="00F50B51" w:rsidRDefault="00F80EE7">
      <w:pPr>
        <w:pStyle w:val="16"/>
        <w:spacing w:after="120" w:afterAutospacing="0" w:line="460" w:lineRule="atLeast"/>
        <w:ind w:firstLine="420"/>
        <w:rPr>
          <w:sz w:val="18"/>
          <w:szCs w:val="18"/>
        </w:rPr>
      </w:pPr>
      <w:r w:rsidRPr="00F50B51">
        <w:rPr>
          <w:rFonts w:cs="Times New Roman" w:hint="eastAsia"/>
          <w:sz w:val="21"/>
          <w:szCs w:val="21"/>
        </w:rPr>
        <w:t>根据湘财企</w:t>
      </w:r>
      <w:r w:rsidRPr="00F50B51">
        <w:rPr>
          <w:rFonts w:ascii="Times New Roman" w:hAnsi="Times New Roman" w:cs="Times New Roman"/>
          <w:sz w:val="21"/>
          <w:szCs w:val="21"/>
        </w:rPr>
        <w:t>[2016]5</w:t>
      </w:r>
      <w:r w:rsidRPr="00F50B51">
        <w:rPr>
          <w:rFonts w:cs="Times New Roman" w:hint="eastAsia"/>
          <w:sz w:val="21"/>
          <w:szCs w:val="21"/>
        </w:rPr>
        <w:t>号《关于下达</w:t>
      </w:r>
      <w:r w:rsidRPr="00F50B51">
        <w:rPr>
          <w:rFonts w:ascii="Times New Roman" w:hAnsi="Times New Roman" w:cs="Times New Roman"/>
          <w:sz w:val="21"/>
          <w:szCs w:val="21"/>
        </w:rPr>
        <w:t>2015</w:t>
      </w:r>
      <w:r w:rsidRPr="00F50B51">
        <w:rPr>
          <w:rFonts w:cs="Times New Roman" w:hint="eastAsia"/>
          <w:sz w:val="21"/>
          <w:szCs w:val="21"/>
        </w:rPr>
        <w:t>年广东省省级企业技术改造资金（第二批）因素法股权投资及贷款贴息预算指标的通知》，潮州市湘桥区财政局拨付专项资金</w:t>
      </w:r>
      <w:r w:rsidRPr="00F50B51">
        <w:rPr>
          <w:rFonts w:ascii="Times New Roman" w:hAnsi="Times New Roman" w:cs="Times New Roman"/>
          <w:sz w:val="21"/>
          <w:szCs w:val="21"/>
        </w:rPr>
        <w:t>1,565,900.00</w:t>
      </w:r>
      <w:r w:rsidRPr="00F50B51">
        <w:rPr>
          <w:rFonts w:cs="Times New Roman" w:hint="eastAsia"/>
          <w:sz w:val="21"/>
          <w:szCs w:val="21"/>
        </w:rPr>
        <w:t>元，用于</w:t>
      </w:r>
      <w:r w:rsidRPr="00F50B51">
        <w:rPr>
          <w:rFonts w:ascii="Times New Roman" w:hAnsi="Times New Roman" w:cs="Times New Roman"/>
          <w:sz w:val="21"/>
          <w:szCs w:val="21"/>
        </w:rPr>
        <w:t>200t/a</w:t>
      </w:r>
      <w:r w:rsidRPr="00F50B51">
        <w:rPr>
          <w:rFonts w:cs="Times New Roman" w:hint="eastAsia"/>
          <w:sz w:val="21"/>
          <w:szCs w:val="21"/>
        </w:rPr>
        <w:t>硬质合金研发生产线技术改造项目，公司已于</w:t>
      </w:r>
      <w:r w:rsidRPr="00F50B51">
        <w:rPr>
          <w:rFonts w:ascii="Times New Roman" w:hAnsi="Times New Roman" w:cs="Times New Roman"/>
          <w:sz w:val="21"/>
          <w:szCs w:val="21"/>
        </w:rPr>
        <w:t>2016</w:t>
      </w:r>
      <w:r w:rsidRPr="00F50B51">
        <w:rPr>
          <w:rFonts w:cs="Times New Roman" w:hint="eastAsia"/>
          <w:sz w:val="21"/>
          <w:szCs w:val="21"/>
        </w:rPr>
        <w:t>年</w:t>
      </w:r>
      <w:r w:rsidRPr="00F50B51">
        <w:rPr>
          <w:rFonts w:ascii="Times New Roman" w:hAnsi="Times New Roman" w:cs="Times New Roman"/>
          <w:sz w:val="21"/>
          <w:szCs w:val="21"/>
        </w:rPr>
        <w:t>8</w:t>
      </w:r>
      <w:r w:rsidRPr="00F50B51">
        <w:rPr>
          <w:rFonts w:cs="Times New Roman" w:hint="eastAsia"/>
          <w:sz w:val="21"/>
          <w:szCs w:val="21"/>
        </w:rPr>
        <w:t>月收到全部款项。</w:t>
      </w:r>
    </w:p>
    <w:p w:rsidR="0058782B" w:rsidRPr="00F50B51" w:rsidRDefault="00F80EE7">
      <w:pPr>
        <w:pStyle w:val="16"/>
        <w:spacing w:after="120" w:afterAutospacing="0" w:line="460" w:lineRule="atLeast"/>
        <w:ind w:firstLine="420"/>
        <w:rPr>
          <w:sz w:val="18"/>
          <w:szCs w:val="18"/>
        </w:rPr>
      </w:pPr>
      <w:r w:rsidRPr="00F50B51">
        <w:rPr>
          <w:rFonts w:hint="eastAsia"/>
          <w:sz w:val="21"/>
          <w:szCs w:val="21"/>
        </w:rPr>
        <w:t>根据湘财企</w:t>
      </w:r>
      <w:r w:rsidRPr="00F50B51">
        <w:rPr>
          <w:rFonts w:ascii="Times New Roman" w:hAnsi="Times New Roman" w:cs="Times New Roman"/>
          <w:sz w:val="21"/>
          <w:szCs w:val="21"/>
        </w:rPr>
        <w:t>[2016]14</w:t>
      </w:r>
      <w:r w:rsidRPr="00F50B51">
        <w:rPr>
          <w:rFonts w:hint="eastAsia"/>
          <w:sz w:val="21"/>
          <w:szCs w:val="21"/>
        </w:rPr>
        <w:t>号《关于下达</w:t>
      </w:r>
      <w:r w:rsidRPr="00F50B51">
        <w:rPr>
          <w:rFonts w:ascii="Times New Roman" w:hAnsi="Times New Roman" w:cs="Times New Roman"/>
          <w:sz w:val="21"/>
          <w:szCs w:val="21"/>
        </w:rPr>
        <w:t>2016</w:t>
      </w:r>
      <w:r w:rsidRPr="00F50B51">
        <w:rPr>
          <w:rFonts w:hint="eastAsia"/>
          <w:sz w:val="21"/>
          <w:szCs w:val="21"/>
        </w:rPr>
        <w:t>年省级工业与信息化发展专项资金（生产服务业方向</w:t>
      </w:r>
      <w:r w:rsidRPr="00F50B51">
        <w:rPr>
          <w:rFonts w:hint="eastAsia"/>
          <w:sz w:val="21"/>
          <w:szCs w:val="21"/>
        </w:rPr>
        <w:t>）的通知》，潮州市湘桥区财政局拨付专项资金</w:t>
      </w:r>
      <w:r w:rsidRPr="00F50B51">
        <w:rPr>
          <w:rFonts w:ascii="Times New Roman" w:hAnsi="Times New Roman" w:cs="Times New Roman"/>
          <w:sz w:val="21"/>
          <w:szCs w:val="21"/>
        </w:rPr>
        <w:t>1,000,000.00</w:t>
      </w:r>
      <w:r w:rsidRPr="00F50B51">
        <w:rPr>
          <w:rFonts w:hint="eastAsia"/>
          <w:sz w:val="21"/>
          <w:szCs w:val="21"/>
        </w:rPr>
        <w:t>元，用于</w:t>
      </w:r>
      <w:r w:rsidRPr="00F50B51">
        <w:rPr>
          <w:rFonts w:ascii="Times New Roman" w:hAnsi="Times New Roman" w:cs="Times New Roman"/>
          <w:sz w:val="21"/>
          <w:szCs w:val="21"/>
        </w:rPr>
        <w:t>ERP</w:t>
      </w:r>
      <w:r w:rsidRPr="00F50B51">
        <w:rPr>
          <w:rFonts w:hint="eastAsia"/>
          <w:sz w:val="21"/>
          <w:szCs w:val="21"/>
        </w:rPr>
        <w:t>管理系统开发与应用项目，公司已于</w:t>
      </w:r>
      <w:r w:rsidRPr="00F50B51">
        <w:rPr>
          <w:rFonts w:ascii="Times New Roman" w:hAnsi="Times New Roman" w:cs="Times New Roman"/>
          <w:sz w:val="21"/>
          <w:szCs w:val="21"/>
        </w:rPr>
        <w:t>2017</w:t>
      </w:r>
      <w:r w:rsidRPr="00F50B51">
        <w:rPr>
          <w:rFonts w:hint="eastAsia"/>
          <w:sz w:val="21"/>
          <w:szCs w:val="21"/>
        </w:rPr>
        <w:t>年</w:t>
      </w:r>
      <w:r w:rsidRPr="00F50B51">
        <w:rPr>
          <w:rFonts w:ascii="Times New Roman" w:hAnsi="Times New Roman" w:cs="Times New Roman"/>
          <w:sz w:val="21"/>
          <w:szCs w:val="21"/>
        </w:rPr>
        <w:t>1</w:t>
      </w:r>
      <w:r w:rsidRPr="00F50B51">
        <w:rPr>
          <w:rFonts w:hint="eastAsia"/>
          <w:sz w:val="21"/>
          <w:szCs w:val="21"/>
        </w:rPr>
        <w:t>月收到全部款项。</w:t>
      </w:r>
    </w:p>
    <w:p w:rsidR="0058782B" w:rsidRPr="00F50B51" w:rsidRDefault="00F80EE7">
      <w:pPr>
        <w:pStyle w:val="16"/>
        <w:spacing w:after="120" w:afterAutospacing="0" w:line="460" w:lineRule="atLeast"/>
        <w:ind w:firstLine="420"/>
        <w:rPr>
          <w:sz w:val="18"/>
          <w:szCs w:val="18"/>
        </w:rPr>
      </w:pPr>
      <w:r w:rsidRPr="00F50B51">
        <w:rPr>
          <w:rFonts w:hint="eastAsia"/>
          <w:sz w:val="21"/>
          <w:szCs w:val="21"/>
        </w:rPr>
        <w:t>根据湘财企</w:t>
      </w:r>
      <w:r w:rsidRPr="00F50B51">
        <w:rPr>
          <w:rFonts w:ascii="Times New Roman" w:hAnsi="Times New Roman" w:cs="Times New Roman"/>
          <w:sz w:val="21"/>
          <w:szCs w:val="21"/>
        </w:rPr>
        <w:t>[2017]13</w:t>
      </w:r>
      <w:r w:rsidRPr="00F50B51">
        <w:rPr>
          <w:rFonts w:hint="eastAsia"/>
          <w:sz w:val="21"/>
          <w:szCs w:val="21"/>
        </w:rPr>
        <w:t>号《关于下达</w:t>
      </w:r>
      <w:r w:rsidRPr="00F50B51">
        <w:rPr>
          <w:rFonts w:ascii="Times New Roman" w:hAnsi="Times New Roman" w:cs="Times New Roman"/>
          <w:sz w:val="21"/>
          <w:szCs w:val="21"/>
        </w:rPr>
        <w:t>2017</w:t>
      </w:r>
      <w:r w:rsidRPr="00F50B51">
        <w:rPr>
          <w:rFonts w:hint="eastAsia"/>
          <w:sz w:val="21"/>
          <w:szCs w:val="21"/>
        </w:rPr>
        <w:t>年省级治污保洁和节能减排专项资金（支持节能降耗）的通知》，潮州市湘桥区财政局拨付专项资金</w:t>
      </w:r>
      <w:r w:rsidRPr="00F50B51">
        <w:rPr>
          <w:rFonts w:ascii="Times New Roman" w:hAnsi="Times New Roman" w:cs="Times New Roman"/>
          <w:sz w:val="21"/>
          <w:szCs w:val="21"/>
        </w:rPr>
        <w:t>1,000,000.00</w:t>
      </w:r>
      <w:r w:rsidRPr="00F50B51">
        <w:rPr>
          <w:rFonts w:hint="eastAsia"/>
          <w:sz w:val="21"/>
          <w:szCs w:val="21"/>
        </w:rPr>
        <w:t>元，用于碳化钨自动化生产线清洁生产技术改造项目，公司已于</w:t>
      </w:r>
      <w:r w:rsidRPr="00F50B51">
        <w:rPr>
          <w:rFonts w:ascii="Times New Roman" w:hAnsi="Times New Roman" w:cs="Times New Roman"/>
          <w:sz w:val="21"/>
          <w:szCs w:val="21"/>
        </w:rPr>
        <w:t>2017</w:t>
      </w:r>
      <w:r w:rsidRPr="00F50B51">
        <w:rPr>
          <w:rFonts w:hint="eastAsia"/>
          <w:sz w:val="21"/>
          <w:szCs w:val="21"/>
        </w:rPr>
        <w:t>年</w:t>
      </w:r>
      <w:r w:rsidRPr="00F50B51">
        <w:rPr>
          <w:rFonts w:ascii="Times New Roman" w:hAnsi="Times New Roman" w:cs="Times New Roman"/>
          <w:sz w:val="21"/>
          <w:szCs w:val="21"/>
        </w:rPr>
        <w:t>6</w:t>
      </w:r>
      <w:r w:rsidRPr="00F50B51">
        <w:rPr>
          <w:rFonts w:hint="eastAsia"/>
          <w:sz w:val="21"/>
          <w:szCs w:val="21"/>
        </w:rPr>
        <w:t>月收到全部款项。</w:t>
      </w:r>
    </w:p>
    <w:p w:rsidR="0058782B" w:rsidRPr="00F50B51" w:rsidRDefault="00F80EE7">
      <w:pPr>
        <w:pStyle w:val="16"/>
        <w:spacing w:after="120" w:afterAutospacing="0" w:line="460" w:lineRule="atLeast"/>
        <w:ind w:firstLine="420"/>
        <w:rPr>
          <w:sz w:val="18"/>
          <w:szCs w:val="18"/>
        </w:rPr>
      </w:pPr>
      <w:r w:rsidRPr="00F50B51">
        <w:rPr>
          <w:rFonts w:hint="eastAsia"/>
          <w:sz w:val="21"/>
          <w:szCs w:val="21"/>
        </w:rPr>
        <w:t>根据赣环财字</w:t>
      </w:r>
      <w:r w:rsidRPr="00F50B51">
        <w:rPr>
          <w:rFonts w:ascii="Times New Roman" w:hAnsi="Times New Roman" w:cs="Times New Roman"/>
          <w:sz w:val="21"/>
          <w:szCs w:val="21"/>
        </w:rPr>
        <w:t>[2013]16</w:t>
      </w:r>
      <w:r w:rsidRPr="00F50B51">
        <w:rPr>
          <w:rFonts w:hint="eastAsia"/>
          <w:sz w:val="21"/>
          <w:szCs w:val="21"/>
        </w:rPr>
        <w:t>号《关于对大余县、进贤县</w:t>
      </w:r>
      <w:r w:rsidRPr="00F50B51">
        <w:rPr>
          <w:rFonts w:ascii="Times New Roman" w:hAnsi="Times New Roman" w:cs="Times New Roman"/>
          <w:sz w:val="21"/>
          <w:szCs w:val="21"/>
        </w:rPr>
        <w:t>2012</w:t>
      </w:r>
      <w:r w:rsidRPr="00F50B51">
        <w:rPr>
          <w:rFonts w:hint="eastAsia"/>
          <w:sz w:val="21"/>
          <w:szCs w:val="21"/>
        </w:rPr>
        <w:t>年重金属污染防治重点示范区域项目实施方案的批复》，江西省环境保护厅拨付专项资金</w:t>
      </w:r>
      <w:r w:rsidRPr="00F50B51">
        <w:rPr>
          <w:rFonts w:ascii="Times New Roman" w:hAnsi="Times New Roman" w:cs="Times New Roman"/>
          <w:sz w:val="21"/>
          <w:szCs w:val="21"/>
        </w:rPr>
        <w:t>2,000,000.00</w:t>
      </w:r>
      <w:r w:rsidRPr="00F50B51">
        <w:rPr>
          <w:rFonts w:hint="eastAsia"/>
          <w:sz w:val="21"/>
          <w:szCs w:val="21"/>
        </w:rPr>
        <w:t>元，用于浮选重金属废水治理工程，公司已于</w:t>
      </w:r>
      <w:r w:rsidRPr="00F50B51">
        <w:rPr>
          <w:rFonts w:ascii="Times New Roman" w:hAnsi="Times New Roman" w:cs="Times New Roman"/>
          <w:sz w:val="21"/>
          <w:szCs w:val="21"/>
        </w:rPr>
        <w:t>2017</w:t>
      </w:r>
      <w:r w:rsidRPr="00F50B51">
        <w:rPr>
          <w:rFonts w:hint="eastAsia"/>
          <w:sz w:val="21"/>
          <w:szCs w:val="21"/>
        </w:rPr>
        <w:t>年</w:t>
      </w:r>
      <w:r w:rsidRPr="00F50B51">
        <w:rPr>
          <w:rFonts w:ascii="Times New Roman" w:hAnsi="Times New Roman" w:cs="Times New Roman"/>
          <w:sz w:val="21"/>
          <w:szCs w:val="21"/>
        </w:rPr>
        <w:t>9</w:t>
      </w:r>
      <w:r w:rsidRPr="00F50B51">
        <w:rPr>
          <w:rFonts w:hint="eastAsia"/>
          <w:sz w:val="21"/>
          <w:szCs w:val="21"/>
        </w:rPr>
        <w:t>月收到全部款项。</w:t>
      </w:r>
    </w:p>
    <w:p w:rsidR="0058782B" w:rsidRPr="00F50B51" w:rsidRDefault="00F80EE7">
      <w:pPr>
        <w:pStyle w:val="16"/>
        <w:spacing w:after="120" w:afterAutospacing="0" w:line="460" w:lineRule="atLeast"/>
        <w:ind w:firstLine="420"/>
        <w:rPr>
          <w:sz w:val="18"/>
          <w:szCs w:val="18"/>
        </w:rPr>
      </w:pPr>
      <w:r w:rsidRPr="00F50B51">
        <w:rPr>
          <w:rFonts w:hint="eastAsia"/>
          <w:sz w:val="21"/>
          <w:szCs w:val="21"/>
        </w:rPr>
        <w:t>根据湘财企</w:t>
      </w:r>
      <w:r w:rsidRPr="00F50B51">
        <w:rPr>
          <w:rFonts w:ascii="Times New Roman" w:hAnsi="Times New Roman" w:cs="Times New Roman"/>
          <w:sz w:val="21"/>
          <w:szCs w:val="21"/>
        </w:rPr>
        <w:t>[2018] 3</w:t>
      </w:r>
      <w:r w:rsidRPr="00F50B51">
        <w:rPr>
          <w:rFonts w:hint="eastAsia"/>
          <w:sz w:val="21"/>
          <w:szCs w:val="21"/>
        </w:rPr>
        <w:t>号《关于</w:t>
      </w:r>
      <w:r w:rsidRPr="00F50B51">
        <w:rPr>
          <w:rFonts w:ascii="Times New Roman" w:hAnsi="Times New Roman" w:cs="Times New Roman"/>
          <w:sz w:val="21"/>
          <w:szCs w:val="21"/>
        </w:rPr>
        <w:t>2016</w:t>
      </w:r>
      <w:r w:rsidRPr="00F50B51">
        <w:rPr>
          <w:rFonts w:hint="eastAsia"/>
          <w:sz w:val="21"/>
          <w:szCs w:val="21"/>
        </w:rPr>
        <w:t>年度重大项目培育专项奖励金》，潮州湘桥官塘财政管理所拨付专项资金</w:t>
      </w:r>
      <w:r w:rsidRPr="00F50B51">
        <w:rPr>
          <w:rFonts w:ascii="Times New Roman" w:hAnsi="Times New Roman" w:cs="Times New Roman"/>
          <w:sz w:val="21"/>
          <w:szCs w:val="21"/>
        </w:rPr>
        <w:t>50,000.00</w:t>
      </w:r>
      <w:r w:rsidRPr="00F50B51">
        <w:rPr>
          <w:rFonts w:hint="eastAsia"/>
          <w:sz w:val="21"/>
          <w:szCs w:val="21"/>
        </w:rPr>
        <w:t>元，用于</w:t>
      </w:r>
      <w:r w:rsidRPr="00F50B51">
        <w:rPr>
          <w:rFonts w:ascii="Times New Roman" w:hAnsi="Times New Roman" w:cs="Times New Roman"/>
          <w:sz w:val="21"/>
          <w:szCs w:val="21"/>
        </w:rPr>
        <w:t>2000T</w:t>
      </w:r>
      <w:r w:rsidRPr="00F50B51">
        <w:rPr>
          <w:rFonts w:hint="eastAsia"/>
          <w:sz w:val="21"/>
          <w:szCs w:val="21"/>
        </w:rPr>
        <w:t>特种碳化钨粉全自动智能化扩产增效技改项目，公司已于</w:t>
      </w:r>
      <w:r w:rsidRPr="00F50B51">
        <w:rPr>
          <w:rFonts w:ascii="Times New Roman" w:hAnsi="Times New Roman" w:cs="Times New Roman"/>
          <w:sz w:val="21"/>
          <w:szCs w:val="21"/>
        </w:rPr>
        <w:t>2018</w:t>
      </w:r>
      <w:r w:rsidRPr="00F50B51">
        <w:rPr>
          <w:rFonts w:hint="eastAsia"/>
          <w:sz w:val="21"/>
          <w:szCs w:val="21"/>
        </w:rPr>
        <w:t>年</w:t>
      </w:r>
      <w:r w:rsidRPr="00F50B51">
        <w:rPr>
          <w:rFonts w:ascii="Times New Roman" w:hAnsi="Times New Roman" w:cs="Times New Roman"/>
          <w:sz w:val="21"/>
          <w:szCs w:val="21"/>
        </w:rPr>
        <w:t>4</w:t>
      </w:r>
      <w:r w:rsidRPr="00F50B51">
        <w:rPr>
          <w:rFonts w:hint="eastAsia"/>
          <w:sz w:val="21"/>
          <w:szCs w:val="21"/>
        </w:rPr>
        <w:t>月收到全部款项。</w:t>
      </w:r>
    </w:p>
    <w:p w:rsidR="0058782B" w:rsidRPr="00F50B51" w:rsidRDefault="00F80EE7">
      <w:pPr>
        <w:pStyle w:val="16"/>
        <w:spacing w:after="120" w:afterAutospacing="0" w:line="460" w:lineRule="atLeast"/>
        <w:ind w:firstLine="420"/>
        <w:rPr>
          <w:sz w:val="18"/>
          <w:szCs w:val="18"/>
        </w:rPr>
      </w:pPr>
      <w:r w:rsidRPr="00F50B51">
        <w:rPr>
          <w:rFonts w:hint="eastAsia"/>
          <w:sz w:val="21"/>
          <w:szCs w:val="21"/>
        </w:rPr>
        <w:t>根据赣财经指</w:t>
      </w:r>
      <w:r w:rsidRPr="00F50B51">
        <w:rPr>
          <w:rFonts w:ascii="Times New Roman" w:hAnsi="Times New Roman" w:cs="Times New Roman"/>
          <w:sz w:val="21"/>
          <w:szCs w:val="21"/>
        </w:rPr>
        <w:t>[2019]40</w:t>
      </w:r>
      <w:r w:rsidRPr="00F50B51">
        <w:rPr>
          <w:rFonts w:hint="eastAsia"/>
          <w:sz w:val="21"/>
          <w:szCs w:val="21"/>
        </w:rPr>
        <w:t>号《江西省财政厅关于下达</w:t>
      </w:r>
      <w:r w:rsidRPr="00F50B51">
        <w:rPr>
          <w:rFonts w:ascii="Times New Roman" w:hAnsi="Times New Roman" w:cs="Times New Roman"/>
          <w:sz w:val="21"/>
          <w:szCs w:val="21"/>
        </w:rPr>
        <w:t>2019</w:t>
      </w:r>
      <w:r w:rsidRPr="00F50B51">
        <w:rPr>
          <w:rFonts w:hint="eastAsia"/>
          <w:sz w:val="21"/>
          <w:szCs w:val="21"/>
        </w:rPr>
        <w:t>年第二批省级工业转型升级专项资金的通知》，大余县工业和信息</w:t>
      </w:r>
      <w:r w:rsidRPr="00F50B51">
        <w:rPr>
          <w:rFonts w:hint="eastAsia"/>
          <w:sz w:val="21"/>
          <w:szCs w:val="21"/>
        </w:rPr>
        <w:t>化局拨付资金</w:t>
      </w:r>
      <w:r w:rsidRPr="00F50B51">
        <w:rPr>
          <w:rFonts w:ascii="Times New Roman" w:hAnsi="Times New Roman" w:cs="Times New Roman"/>
          <w:sz w:val="21"/>
          <w:szCs w:val="21"/>
        </w:rPr>
        <w:t>1,300,000.00</w:t>
      </w:r>
      <w:r w:rsidRPr="00F50B51">
        <w:rPr>
          <w:rFonts w:hint="eastAsia"/>
          <w:sz w:val="21"/>
          <w:szCs w:val="21"/>
        </w:rPr>
        <w:t>元，用于补助公司的年产</w:t>
      </w:r>
      <w:r w:rsidRPr="00F50B51">
        <w:rPr>
          <w:rFonts w:ascii="Times New Roman" w:hAnsi="Times New Roman" w:cs="Times New Roman"/>
          <w:sz w:val="21"/>
          <w:szCs w:val="21"/>
        </w:rPr>
        <w:t>1000</w:t>
      </w:r>
      <w:r w:rsidRPr="00F50B51">
        <w:rPr>
          <w:rFonts w:hint="eastAsia"/>
          <w:sz w:val="21"/>
          <w:szCs w:val="21"/>
        </w:rPr>
        <w:t>吨硬质合金项目，公司于</w:t>
      </w:r>
      <w:r w:rsidRPr="00F50B51">
        <w:rPr>
          <w:rFonts w:ascii="Times New Roman" w:hAnsi="Times New Roman" w:cs="Times New Roman"/>
          <w:sz w:val="21"/>
          <w:szCs w:val="21"/>
        </w:rPr>
        <w:t>2019</w:t>
      </w:r>
      <w:r w:rsidRPr="00F50B51">
        <w:rPr>
          <w:rFonts w:hint="eastAsia"/>
          <w:sz w:val="21"/>
          <w:szCs w:val="21"/>
        </w:rPr>
        <w:t>年</w:t>
      </w:r>
      <w:r w:rsidRPr="00F50B51">
        <w:rPr>
          <w:rFonts w:ascii="Times New Roman" w:hAnsi="Times New Roman" w:cs="Times New Roman"/>
          <w:sz w:val="21"/>
          <w:szCs w:val="21"/>
        </w:rPr>
        <w:t>11</w:t>
      </w:r>
      <w:r w:rsidRPr="00F50B51">
        <w:rPr>
          <w:rFonts w:hint="eastAsia"/>
          <w:sz w:val="21"/>
          <w:szCs w:val="21"/>
        </w:rPr>
        <w:t>月收到</w:t>
      </w:r>
      <w:r w:rsidRPr="00F50B51">
        <w:rPr>
          <w:rFonts w:ascii="Times New Roman" w:hAnsi="Times New Roman" w:cs="Times New Roman"/>
          <w:sz w:val="21"/>
          <w:szCs w:val="21"/>
        </w:rPr>
        <w:t>560,000.00</w:t>
      </w:r>
      <w:r w:rsidRPr="00F50B51">
        <w:rPr>
          <w:rFonts w:hint="eastAsia"/>
          <w:sz w:val="21"/>
          <w:szCs w:val="21"/>
        </w:rPr>
        <w:t>元，于</w:t>
      </w:r>
      <w:r w:rsidRPr="00F50B51">
        <w:rPr>
          <w:rFonts w:ascii="Times New Roman" w:hAnsi="Times New Roman" w:cs="Times New Roman"/>
          <w:sz w:val="21"/>
          <w:szCs w:val="21"/>
        </w:rPr>
        <w:t>2020</w:t>
      </w:r>
      <w:r w:rsidRPr="00F50B51">
        <w:rPr>
          <w:rFonts w:hint="eastAsia"/>
          <w:sz w:val="21"/>
          <w:szCs w:val="21"/>
        </w:rPr>
        <w:t>年</w:t>
      </w:r>
      <w:r w:rsidRPr="00F50B51">
        <w:rPr>
          <w:rFonts w:ascii="Times New Roman" w:hAnsi="Times New Roman" w:cs="Times New Roman"/>
          <w:sz w:val="21"/>
          <w:szCs w:val="21"/>
        </w:rPr>
        <w:t>4</w:t>
      </w:r>
      <w:r w:rsidRPr="00F50B51">
        <w:rPr>
          <w:rFonts w:hint="eastAsia"/>
          <w:sz w:val="21"/>
          <w:szCs w:val="21"/>
        </w:rPr>
        <w:t>月收到</w:t>
      </w:r>
      <w:r w:rsidRPr="00F50B51">
        <w:rPr>
          <w:rFonts w:ascii="Times New Roman" w:hAnsi="Times New Roman" w:cs="Times New Roman"/>
          <w:sz w:val="21"/>
          <w:szCs w:val="21"/>
        </w:rPr>
        <w:t>740,000.00</w:t>
      </w:r>
      <w:r w:rsidRPr="00F50B51">
        <w:rPr>
          <w:rFonts w:hint="eastAsia"/>
          <w:sz w:val="21"/>
          <w:szCs w:val="21"/>
        </w:rPr>
        <w:t>元。</w:t>
      </w:r>
    </w:p>
    <w:p w:rsidR="0058782B" w:rsidRPr="00F50B51" w:rsidRDefault="00F80EE7">
      <w:pPr>
        <w:pStyle w:val="3"/>
        <w:spacing w:line="280" w:lineRule="exact"/>
        <w:jc w:val="left"/>
        <w:rPr>
          <w:rFonts w:ascii="宋体" w:hAnsi="宋体" w:cs="宋体"/>
          <w:b/>
          <w:bCs/>
        </w:rPr>
      </w:pPr>
      <w:bookmarkStart w:id="318" w:name="_Toc989206"/>
      <w:r w:rsidRPr="00F50B51">
        <w:rPr>
          <w:rFonts w:ascii="宋体" w:hAnsi="宋体" w:cs="宋体"/>
          <w:b/>
          <w:bCs/>
        </w:rPr>
        <w:t>52</w:t>
      </w:r>
      <w:r w:rsidRPr="00F50B51">
        <w:rPr>
          <w:rFonts w:ascii="宋体" w:hAnsi="宋体" w:cs="宋体"/>
          <w:b/>
          <w:bCs/>
        </w:rPr>
        <w:t>、其他非流动负债</w:t>
      </w:r>
      <w:bookmarkEnd w:id="318"/>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19" w:name="_Toc989207"/>
      <w:r w:rsidRPr="00F50B51">
        <w:rPr>
          <w:rFonts w:ascii="宋体" w:hAnsi="宋体" w:cs="宋体"/>
          <w:b/>
          <w:bCs/>
        </w:rPr>
        <w:t>53</w:t>
      </w:r>
      <w:r w:rsidRPr="00F50B51">
        <w:rPr>
          <w:rFonts w:ascii="宋体" w:hAnsi="宋体" w:cs="宋体"/>
          <w:b/>
          <w:bCs/>
        </w:rPr>
        <w:t>、股本</w:t>
      </w:r>
      <w:bookmarkEnd w:id="31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4"/>
        <w:gridCol w:w="1205"/>
        <w:gridCol w:w="1205"/>
        <w:gridCol w:w="1205"/>
        <w:gridCol w:w="1205"/>
        <w:gridCol w:w="1205"/>
        <w:gridCol w:w="1205"/>
        <w:gridCol w:w="1205"/>
      </w:tblGrid>
      <w:tr w:rsidR="0058782B" w:rsidRPr="00F50B51">
        <w:trPr>
          <w:trHeight w:val="240"/>
        </w:trPr>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6024"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本次变动增减（</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发行新股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送股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公积金转股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小计</w:t>
            </w:r>
          </w:p>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股份总数</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277,671,652.00</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590.00</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590.00</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277,672,242.00</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F80EE7">
      <w:pPr>
        <w:pStyle w:val="16"/>
        <w:spacing w:after="120" w:afterAutospacing="0" w:line="460" w:lineRule="atLeast"/>
        <w:ind w:firstLine="420"/>
        <w:rPr>
          <w:sz w:val="18"/>
          <w:szCs w:val="18"/>
        </w:rPr>
      </w:pPr>
      <w:r w:rsidRPr="00F50B51">
        <w:rPr>
          <w:rFonts w:hint="eastAsia"/>
          <w:sz w:val="21"/>
          <w:szCs w:val="21"/>
        </w:rPr>
        <w:t>经中国证券监督管理委员会证监许可【</w:t>
      </w:r>
      <w:r w:rsidRPr="00F50B51">
        <w:rPr>
          <w:rFonts w:ascii="Times New Roman" w:hAnsi="Times New Roman" w:cs="Times New Roman"/>
          <w:sz w:val="21"/>
          <w:szCs w:val="21"/>
        </w:rPr>
        <w:t>2019</w:t>
      </w:r>
      <w:r w:rsidRPr="00F50B51">
        <w:rPr>
          <w:rFonts w:hint="eastAsia"/>
          <w:sz w:val="21"/>
          <w:szCs w:val="21"/>
        </w:rPr>
        <w:t>】</w:t>
      </w:r>
      <w:r w:rsidRPr="00F50B51">
        <w:rPr>
          <w:rFonts w:ascii="Times New Roman" w:hAnsi="Times New Roman" w:cs="Times New Roman"/>
          <w:sz w:val="21"/>
          <w:szCs w:val="21"/>
        </w:rPr>
        <w:t xml:space="preserve">1374 </w:t>
      </w:r>
      <w:r w:rsidRPr="00F50B51">
        <w:rPr>
          <w:rFonts w:hint="eastAsia"/>
          <w:sz w:val="21"/>
          <w:szCs w:val="21"/>
        </w:rPr>
        <w:t>号文《关于核准广东翔鹭钨业股份有限公司公开发行可转换公司债券的批复》核准，</w:t>
      </w:r>
      <w:r w:rsidRPr="00F50B51">
        <w:rPr>
          <w:rFonts w:ascii="Times New Roman" w:hAnsi="Times New Roman" w:cs="Times New Roman"/>
          <w:sz w:val="21"/>
          <w:szCs w:val="21"/>
        </w:rPr>
        <w:t>2019</w:t>
      </w:r>
      <w:r w:rsidRPr="00F50B51">
        <w:rPr>
          <w:rFonts w:hint="eastAsia"/>
          <w:sz w:val="21"/>
          <w:szCs w:val="21"/>
        </w:rPr>
        <w:t>年</w:t>
      </w:r>
      <w:r w:rsidRPr="00F50B51">
        <w:rPr>
          <w:rFonts w:ascii="Times New Roman" w:hAnsi="Times New Roman" w:cs="Times New Roman"/>
          <w:sz w:val="21"/>
          <w:szCs w:val="21"/>
        </w:rPr>
        <w:t>8</w:t>
      </w:r>
      <w:r w:rsidRPr="00F50B51">
        <w:rPr>
          <w:rFonts w:hint="eastAsia"/>
          <w:sz w:val="21"/>
          <w:szCs w:val="21"/>
        </w:rPr>
        <w:t>月</w:t>
      </w:r>
      <w:r w:rsidRPr="00F50B51">
        <w:rPr>
          <w:rFonts w:ascii="Times New Roman" w:hAnsi="Times New Roman" w:cs="Times New Roman"/>
          <w:sz w:val="21"/>
          <w:szCs w:val="21"/>
        </w:rPr>
        <w:t>20</w:t>
      </w:r>
      <w:r w:rsidRPr="00F50B51">
        <w:rPr>
          <w:rFonts w:hint="eastAsia"/>
          <w:sz w:val="21"/>
          <w:szCs w:val="21"/>
        </w:rPr>
        <w:t>日本公司向社会公开发行面值总额为</w:t>
      </w:r>
      <w:r w:rsidRPr="00F50B51">
        <w:rPr>
          <w:rFonts w:ascii="Times New Roman" w:hAnsi="Times New Roman" w:cs="Times New Roman"/>
          <w:sz w:val="21"/>
          <w:szCs w:val="21"/>
        </w:rPr>
        <w:t xml:space="preserve">30,192.23 </w:t>
      </w:r>
      <w:r w:rsidRPr="00F50B51">
        <w:rPr>
          <w:rFonts w:hint="eastAsia"/>
          <w:sz w:val="21"/>
          <w:szCs w:val="21"/>
        </w:rPr>
        <w:t>万元的可转换公司债券，期限</w:t>
      </w:r>
      <w:r w:rsidRPr="00F50B51">
        <w:rPr>
          <w:rFonts w:ascii="Times New Roman" w:hAnsi="Times New Roman" w:cs="Times New Roman"/>
          <w:sz w:val="21"/>
          <w:szCs w:val="21"/>
        </w:rPr>
        <w:t>6</w:t>
      </w:r>
      <w:r w:rsidRPr="00F50B51">
        <w:rPr>
          <w:rFonts w:hint="eastAsia"/>
          <w:sz w:val="21"/>
          <w:szCs w:val="21"/>
        </w:rPr>
        <w:t>年。本次发行的可转债转股期自可转债发行结束之日起满</w:t>
      </w:r>
      <w:r w:rsidRPr="00F50B51">
        <w:rPr>
          <w:rFonts w:ascii="Times New Roman" w:hAnsi="Times New Roman" w:cs="Times New Roman"/>
          <w:sz w:val="21"/>
          <w:szCs w:val="21"/>
        </w:rPr>
        <w:t>6</w:t>
      </w:r>
      <w:r w:rsidRPr="00F50B51">
        <w:rPr>
          <w:rFonts w:hint="eastAsia"/>
          <w:sz w:val="21"/>
          <w:szCs w:val="21"/>
        </w:rPr>
        <w:t>个月后的第一个交易日至可转债到期日止。截至</w:t>
      </w:r>
      <w:r w:rsidRPr="00F50B51">
        <w:rPr>
          <w:rFonts w:ascii="Times New Roman" w:hAnsi="Times New Roman" w:cs="Times New Roman"/>
          <w:sz w:val="21"/>
          <w:szCs w:val="21"/>
        </w:rPr>
        <w:t>2022</w:t>
      </w:r>
      <w:r w:rsidRPr="00F50B51">
        <w:rPr>
          <w:rFonts w:hint="eastAsia"/>
          <w:sz w:val="21"/>
          <w:szCs w:val="21"/>
        </w:rPr>
        <w:t>年</w:t>
      </w:r>
      <w:r w:rsidRPr="00F50B51">
        <w:rPr>
          <w:rFonts w:ascii="Times New Roman" w:hAnsi="Times New Roman" w:cs="Times New Roman"/>
          <w:sz w:val="21"/>
          <w:szCs w:val="21"/>
        </w:rPr>
        <w:t>6</w:t>
      </w:r>
      <w:r w:rsidRPr="00F50B51">
        <w:rPr>
          <w:rFonts w:hint="eastAsia"/>
          <w:sz w:val="21"/>
          <w:szCs w:val="21"/>
        </w:rPr>
        <w:t>月</w:t>
      </w:r>
      <w:r w:rsidRPr="00F50B51">
        <w:rPr>
          <w:rFonts w:ascii="Times New Roman" w:hAnsi="Times New Roman" w:cs="Times New Roman"/>
          <w:sz w:val="21"/>
          <w:szCs w:val="21"/>
        </w:rPr>
        <w:t>30</w:t>
      </w:r>
      <w:r w:rsidRPr="00F50B51">
        <w:rPr>
          <w:rFonts w:hint="eastAsia"/>
          <w:sz w:val="21"/>
          <w:szCs w:val="21"/>
        </w:rPr>
        <w:t>日，累计转股增加股份数</w:t>
      </w:r>
      <w:r w:rsidRPr="00F50B51">
        <w:rPr>
          <w:rFonts w:ascii="Times New Roman" w:hAnsi="Times New Roman" w:cs="Times New Roman"/>
          <w:sz w:val="21"/>
          <w:szCs w:val="21"/>
        </w:rPr>
        <w:t>8,642.00</w:t>
      </w:r>
      <w:r w:rsidRPr="00F50B51">
        <w:rPr>
          <w:rFonts w:hint="eastAsia"/>
          <w:sz w:val="21"/>
          <w:szCs w:val="21"/>
        </w:rPr>
        <w:t>股，本期结转</w:t>
      </w:r>
      <w:r w:rsidRPr="00F50B51">
        <w:rPr>
          <w:rFonts w:ascii="Times New Roman" w:hAnsi="Times New Roman" w:cs="Times New Roman"/>
          <w:sz w:val="21"/>
          <w:szCs w:val="21"/>
        </w:rPr>
        <w:t>590.00</w:t>
      </w:r>
      <w:r w:rsidRPr="00F50B51">
        <w:rPr>
          <w:rFonts w:hint="eastAsia"/>
          <w:sz w:val="21"/>
          <w:szCs w:val="21"/>
        </w:rPr>
        <w:t>股。</w:t>
      </w:r>
    </w:p>
    <w:p w:rsidR="0058782B" w:rsidRPr="00F50B51" w:rsidRDefault="00F80EE7">
      <w:pPr>
        <w:pStyle w:val="3"/>
        <w:spacing w:line="280" w:lineRule="exact"/>
        <w:jc w:val="left"/>
        <w:rPr>
          <w:rFonts w:ascii="宋体" w:hAnsi="宋体" w:cs="宋体"/>
          <w:b/>
          <w:bCs/>
        </w:rPr>
      </w:pPr>
      <w:bookmarkStart w:id="320" w:name="_Toc989208"/>
      <w:r w:rsidRPr="00F50B51">
        <w:rPr>
          <w:rFonts w:ascii="宋体" w:hAnsi="宋体" w:cs="宋体"/>
          <w:b/>
          <w:bCs/>
        </w:rPr>
        <w:t>54</w:t>
      </w:r>
      <w:r w:rsidRPr="00F50B51">
        <w:rPr>
          <w:rFonts w:ascii="宋体" w:hAnsi="宋体" w:cs="宋体"/>
          <w:b/>
          <w:bCs/>
        </w:rPr>
        <w:t>、其他权益工具</w:t>
      </w:r>
      <w:bookmarkEnd w:id="320"/>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21" w:name="_Toc989209"/>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期末发行在外的优先股、永续债等其他金融工具基本情况</w:t>
      </w:r>
      <w:bookmarkEnd w:id="321"/>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22" w:name="_Toc989210"/>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期末发行在外的优先股、永续债等金融工具变动情况表</w:t>
      </w:r>
      <w:bookmarkEnd w:id="32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发行在外的金融工具</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w:t>
            </w:r>
          </w:p>
        </w:tc>
      </w:tr>
      <w:tr w:rsidR="0058782B" w:rsidRPr="00F50B51">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可转换公司债券</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3,017,985</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65,682,092.34</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1,940.66</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3,017,895</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65,680,151.68</w:t>
            </w:r>
          </w:p>
        </w:tc>
      </w:tr>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3,017,985</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65,682,092.34</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90.00</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1,940.66</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3,017,895</w:t>
            </w:r>
          </w:p>
        </w:tc>
        <w:tc>
          <w:tcPr>
            <w:tcW w:w="1071"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65,680,151.68</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其他权益工具本期增减变动情况、变动原因说明，以及相关会计处理的依据：</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23" w:name="_Toc989211"/>
      <w:r w:rsidRPr="00F50B51">
        <w:rPr>
          <w:rFonts w:ascii="宋体" w:hAnsi="宋体" w:cs="宋体"/>
          <w:b/>
          <w:bCs/>
        </w:rPr>
        <w:t>55</w:t>
      </w:r>
      <w:r w:rsidRPr="00F50B51">
        <w:rPr>
          <w:rFonts w:ascii="宋体" w:hAnsi="宋体" w:cs="宋体"/>
          <w:b/>
          <w:bCs/>
        </w:rPr>
        <w:t>、资本公积</w:t>
      </w:r>
      <w:bookmarkEnd w:id="32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资本溢价（股本溢价）</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216,480,087.82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9,618.37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216,489,706.19</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其他资本公积</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5,858,490.11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5,070,355.21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10,928,845.32</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222,338,577.93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5,079,973.58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227,418,551.51</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其他说明，包括本期增减变动情况、变动原因说明：</w:t>
      </w:r>
    </w:p>
    <w:p w:rsidR="0058782B" w:rsidRPr="00F50B51" w:rsidRDefault="00F80EE7">
      <w:pPr>
        <w:pStyle w:val="16"/>
        <w:spacing w:after="120" w:afterAutospacing="0" w:line="460" w:lineRule="atLeast"/>
        <w:ind w:firstLine="420"/>
        <w:rPr>
          <w:sz w:val="18"/>
          <w:szCs w:val="18"/>
        </w:rPr>
      </w:pPr>
      <w:r w:rsidRPr="00F50B51">
        <w:rPr>
          <w:rFonts w:hint="eastAsia"/>
          <w:sz w:val="21"/>
          <w:szCs w:val="21"/>
        </w:rPr>
        <w:t>本期股本溢价增加额</w:t>
      </w:r>
      <w:r w:rsidRPr="00F50B51">
        <w:rPr>
          <w:rFonts w:ascii="Times New Roman" w:hAnsi="Times New Roman" w:cs="Times New Roman"/>
          <w:sz w:val="21"/>
          <w:szCs w:val="21"/>
        </w:rPr>
        <w:t>9,618.37</w:t>
      </w:r>
      <w:r w:rsidRPr="00F50B51">
        <w:rPr>
          <w:rFonts w:hint="eastAsia"/>
          <w:sz w:val="21"/>
          <w:szCs w:val="21"/>
        </w:rPr>
        <w:t>元系可转换公司债券本期转股增加资本公积</w:t>
      </w:r>
      <w:r w:rsidRPr="00F50B51">
        <w:rPr>
          <w:rFonts w:ascii="Times New Roman" w:hAnsi="Times New Roman" w:cs="Times New Roman"/>
          <w:sz w:val="21"/>
          <w:szCs w:val="21"/>
        </w:rPr>
        <w:t>9,618.37</w:t>
      </w:r>
      <w:r w:rsidRPr="00F50B51">
        <w:rPr>
          <w:rFonts w:hint="eastAsia"/>
          <w:sz w:val="21"/>
          <w:szCs w:val="21"/>
        </w:rPr>
        <w:t>元。本期其他资本公积增加额</w:t>
      </w:r>
      <w:r w:rsidRPr="00F50B51">
        <w:rPr>
          <w:rFonts w:ascii="Times New Roman" w:hAnsi="Times New Roman" w:cs="Times New Roman"/>
          <w:sz w:val="21"/>
          <w:szCs w:val="21"/>
        </w:rPr>
        <w:t>5,070,355.21</w:t>
      </w:r>
      <w:r w:rsidRPr="00F50B51">
        <w:rPr>
          <w:rFonts w:hint="eastAsia"/>
          <w:sz w:val="21"/>
          <w:szCs w:val="21"/>
        </w:rPr>
        <w:t>元系以权益结算的股份支付增加</w:t>
      </w:r>
      <w:r w:rsidRPr="00F50B51">
        <w:rPr>
          <w:rFonts w:ascii="Times New Roman" w:hAnsi="Times New Roman" w:cs="Times New Roman"/>
          <w:sz w:val="21"/>
          <w:szCs w:val="21"/>
        </w:rPr>
        <w:t>5,070,355.21</w:t>
      </w:r>
      <w:r w:rsidRPr="00F50B51">
        <w:rPr>
          <w:rFonts w:hint="eastAsia"/>
          <w:sz w:val="21"/>
          <w:szCs w:val="21"/>
        </w:rPr>
        <w:t>元，详见十三、股份支付。</w:t>
      </w:r>
    </w:p>
    <w:p w:rsidR="0058782B" w:rsidRPr="00F50B51" w:rsidRDefault="00F80EE7">
      <w:pPr>
        <w:pStyle w:val="3"/>
        <w:spacing w:line="280" w:lineRule="exact"/>
        <w:jc w:val="left"/>
        <w:rPr>
          <w:rFonts w:ascii="宋体" w:hAnsi="宋体" w:cs="宋体"/>
          <w:b/>
          <w:bCs/>
        </w:rPr>
      </w:pPr>
      <w:bookmarkStart w:id="324" w:name="_Toc989212"/>
      <w:r w:rsidRPr="00F50B51">
        <w:rPr>
          <w:rFonts w:ascii="宋体" w:hAnsi="宋体" w:cs="宋体"/>
          <w:b/>
          <w:bCs/>
        </w:rPr>
        <w:t>56</w:t>
      </w:r>
      <w:r w:rsidRPr="00F50B51">
        <w:rPr>
          <w:rFonts w:ascii="宋体" w:hAnsi="宋体" w:cs="宋体"/>
          <w:b/>
          <w:bCs/>
        </w:rPr>
        <w:t>、库存股</w:t>
      </w:r>
      <w:bookmarkEnd w:id="32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限制性股票回购</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25,171,300.00</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其他说明，包括本期增减变动情况、变动原因说明：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25" w:name="_Toc989213"/>
      <w:r w:rsidRPr="00F50B51">
        <w:rPr>
          <w:rFonts w:ascii="宋体" w:hAnsi="宋体" w:cs="宋体"/>
          <w:b/>
          <w:bCs/>
        </w:rPr>
        <w:t>57</w:t>
      </w:r>
      <w:r w:rsidRPr="00F50B51">
        <w:rPr>
          <w:rFonts w:ascii="宋体" w:hAnsi="宋体" w:cs="宋体"/>
          <w:b/>
          <w:bCs/>
        </w:rPr>
        <w:t>、其他综合收益</w:t>
      </w:r>
      <w:bookmarkEnd w:id="32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6426"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本期所得税前发生额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减：前期计入其他综合收益当期转入损益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减：前期计入其他综合收益当期转入留存收益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减：所得税费用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税后归属于母公司</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税后归属于少数股东</w:t>
            </w: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其他说明，包括对现金流量套期损益的有效部分转为被套期项目初始确认金额调整：</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26" w:name="_Toc989214"/>
      <w:r w:rsidRPr="00F50B51">
        <w:rPr>
          <w:rFonts w:ascii="宋体" w:hAnsi="宋体" w:cs="宋体"/>
          <w:b/>
          <w:bCs/>
        </w:rPr>
        <w:t>58</w:t>
      </w:r>
      <w:r w:rsidRPr="00F50B51">
        <w:rPr>
          <w:rFonts w:ascii="宋体" w:hAnsi="宋体" w:cs="宋体"/>
          <w:b/>
          <w:bCs/>
        </w:rPr>
        <w:t>、专项储备</w:t>
      </w:r>
      <w:bookmarkEnd w:id="32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安全生产费</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31,426,815.31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6,279,928.03</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25,146,887.28</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矿山环境治理恢复基金</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492,064.29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162,548.28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410,174.67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244,437.90</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31,918,879.60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162,548.28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6,690,102.70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25,391,325.18</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其他说明，包括本期增减变动情况、变动原因说明：</w:t>
      </w:r>
    </w:p>
    <w:p w:rsidR="0058782B" w:rsidRPr="00F50B51" w:rsidRDefault="00F80EE7">
      <w:pPr>
        <w:pStyle w:val="16"/>
        <w:spacing w:after="120" w:afterAutospacing="0" w:line="460" w:lineRule="atLeast"/>
        <w:ind w:firstLine="420"/>
        <w:rPr>
          <w:sz w:val="18"/>
          <w:szCs w:val="18"/>
        </w:rPr>
      </w:pPr>
      <w:r w:rsidRPr="00F50B51">
        <w:rPr>
          <w:rFonts w:hint="eastAsia"/>
          <w:sz w:val="21"/>
          <w:szCs w:val="21"/>
        </w:rPr>
        <w:t>根据财政部、安全监管总局发布</w:t>
      </w:r>
      <w:r w:rsidRPr="00F50B51">
        <w:rPr>
          <w:rFonts w:hint="eastAsia"/>
          <w:sz w:val="21"/>
          <w:szCs w:val="21"/>
        </w:rPr>
        <w:t xml:space="preserve"> </w:t>
      </w:r>
      <w:r w:rsidRPr="00F50B51">
        <w:rPr>
          <w:rFonts w:hint="eastAsia"/>
          <w:sz w:val="21"/>
          <w:szCs w:val="21"/>
        </w:rPr>
        <w:t>《企业安全生产费用提取和使用管理办法》“财企〔</w:t>
      </w:r>
      <w:r w:rsidRPr="00F50B51">
        <w:rPr>
          <w:rFonts w:ascii="Times New Roman" w:hAnsi="Times New Roman" w:cs="Times New Roman"/>
          <w:sz w:val="21"/>
          <w:szCs w:val="21"/>
        </w:rPr>
        <w:t>2012</w:t>
      </w:r>
      <w:r w:rsidRPr="00F50B51">
        <w:rPr>
          <w:rFonts w:hint="eastAsia"/>
          <w:sz w:val="21"/>
          <w:szCs w:val="21"/>
        </w:rPr>
        <w:t>〕</w:t>
      </w:r>
      <w:r w:rsidRPr="00F50B51">
        <w:rPr>
          <w:rFonts w:ascii="Times New Roman" w:hAnsi="Times New Roman" w:cs="Times New Roman"/>
          <w:sz w:val="21"/>
          <w:szCs w:val="21"/>
        </w:rPr>
        <w:t>16</w:t>
      </w:r>
      <w:r w:rsidRPr="00F50B51">
        <w:rPr>
          <w:rFonts w:hint="eastAsia"/>
          <w:sz w:val="21"/>
          <w:szCs w:val="21"/>
        </w:rPr>
        <w:t>号”规定：①公司及公司之子公司江西翔鹭钨业有限公司以上一年度实际营业收入为计提依据，采取超额累退方式计提企业安全生产费用；②公司之子公司大余隆鑫泰矿业有限公司以本年度开采的原矿产量为计提依据，按月提取企业安全生产费用。</w:t>
      </w:r>
    </w:p>
    <w:p w:rsidR="0058782B" w:rsidRPr="00F50B51" w:rsidRDefault="00F80EE7">
      <w:pPr>
        <w:pStyle w:val="16"/>
        <w:spacing w:after="120" w:afterAutospacing="0" w:line="460" w:lineRule="atLeast"/>
        <w:ind w:firstLine="420"/>
        <w:rPr>
          <w:sz w:val="18"/>
          <w:szCs w:val="18"/>
        </w:rPr>
      </w:pPr>
      <w:r w:rsidRPr="00F50B51">
        <w:rPr>
          <w:rFonts w:hint="eastAsia"/>
          <w:sz w:val="21"/>
          <w:szCs w:val="21"/>
        </w:rPr>
        <w:t>根据江西省自然资源厅、江西省财政厅和江西省生态环境厅于</w:t>
      </w:r>
      <w:r w:rsidRPr="00F50B51">
        <w:rPr>
          <w:rFonts w:ascii="Times New Roman" w:hAnsi="Times New Roman" w:cs="Times New Roman"/>
          <w:sz w:val="21"/>
          <w:szCs w:val="21"/>
        </w:rPr>
        <w:t>2019</w:t>
      </w:r>
      <w:r w:rsidRPr="00F50B51">
        <w:rPr>
          <w:rFonts w:hint="eastAsia"/>
          <w:sz w:val="21"/>
          <w:szCs w:val="21"/>
        </w:rPr>
        <w:t>年</w:t>
      </w:r>
      <w:r w:rsidRPr="00F50B51">
        <w:rPr>
          <w:rFonts w:ascii="Times New Roman" w:hAnsi="Times New Roman" w:cs="Times New Roman"/>
          <w:sz w:val="21"/>
          <w:szCs w:val="21"/>
        </w:rPr>
        <w:t>11</w:t>
      </w:r>
      <w:r w:rsidRPr="00F50B51">
        <w:rPr>
          <w:rFonts w:hint="eastAsia"/>
          <w:sz w:val="21"/>
          <w:szCs w:val="21"/>
        </w:rPr>
        <w:t>月</w:t>
      </w:r>
      <w:r w:rsidRPr="00F50B51">
        <w:rPr>
          <w:rFonts w:ascii="Times New Roman" w:hAnsi="Times New Roman" w:cs="Times New Roman"/>
          <w:sz w:val="21"/>
          <w:szCs w:val="21"/>
        </w:rPr>
        <w:t>7</w:t>
      </w:r>
      <w:r w:rsidRPr="00F50B51">
        <w:rPr>
          <w:rFonts w:hint="eastAsia"/>
          <w:sz w:val="21"/>
          <w:szCs w:val="21"/>
        </w:rPr>
        <w:t>日发布的《江西省矿山生态修复基金管理办法》，大余隆鑫泰矿业有限公司本期按固定公式计提矿山生态修复基金</w:t>
      </w:r>
      <w:r w:rsidRPr="00F50B51">
        <w:rPr>
          <w:rFonts w:ascii="Times New Roman" w:hAnsi="Times New Roman" w:cs="Times New Roman"/>
          <w:sz w:val="21"/>
          <w:szCs w:val="21"/>
        </w:rPr>
        <w:t>162,548.28</w:t>
      </w:r>
      <w:r w:rsidRPr="00F50B51">
        <w:rPr>
          <w:rFonts w:hint="eastAsia"/>
          <w:sz w:val="21"/>
          <w:szCs w:val="21"/>
        </w:rPr>
        <w:t>元。</w:t>
      </w:r>
    </w:p>
    <w:p w:rsidR="0058782B" w:rsidRPr="00F50B51" w:rsidRDefault="00F80EE7">
      <w:pPr>
        <w:pStyle w:val="3"/>
        <w:spacing w:line="280" w:lineRule="exact"/>
        <w:jc w:val="left"/>
        <w:rPr>
          <w:rFonts w:ascii="宋体" w:hAnsi="宋体" w:cs="宋体"/>
          <w:b/>
          <w:bCs/>
        </w:rPr>
      </w:pPr>
      <w:bookmarkStart w:id="327" w:name="_Toc989215"/>
      <w:r w:rsidRPr="00F50B51">
        <w:rPr>
          <w:rFonts w:ascii="宋体" w:hAnsi="宋体" w:cs="宋体"/>
          <w:b/>
          <w:bCs/>
        </w:rPr>
        <w:t>59</w:t>
      </w:r>
      <w:r w:rsidRPr="00F50B51">
        <w:rPr>
          <w:rFonts w:ascii="宋体" w:hAnsi="宋体" w:cs="宋体"/>
          <w:b/>
          <w:bCs/>
        </w:rPr>
        <w:t>、盈余公积</w:t>
      </w:r>
      <w:bookmarkEnd w:id="32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法定盈余公积</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52,564,222.25</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盈余公积说明，包括本期增减变动情况、变动原因说明：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28" w:name="_Toc989216"/>
      <w:r w:rsidRPr="00F50B51">
        <w:rPr>
          <w:rFonts w:ascii="宋体" w:hAnsi="宋体" w:cs="宋体"/>
          <w:b/>
          <w:bCs/>
        </w:rPr>
        <w:t>60</w:t>
      </w:r>
      <w:r w:rsidRPr="00F50B51">
        <w:rPr>
          <w:rFonts w:ascii="宋体" w:hAnsi="宋体" w:cs="宋体"/>
          <w:b/>
          <w:bCs/>
        </w:rPr>
        <w:t>、未分配利润</w:t>
      </w:r>
      <w:bookmarkEnd w:id="328"/>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调整前上期末未分配利润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387,320,163.25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367,225,311.52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调整后期初未分配利润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387,320,163.25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367,225,311.52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加：本期归属于母公司所有者的净利润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23,080,259.27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24,749,950.04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减：提取法定盈余公积</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4,655,098.31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应付普通股股利</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27,745,013.55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期末未分配利润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382,655,408.97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387,320,163.25</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调整期初未分配利润明细：</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、由于《企业会计准则》及其相关新规定进行追溯调整，影响期初未分配利润元。</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、由于会计政策变更，影响期初未分配利润元。</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、由于重大会计差错更正，影响期初未分配利润元。</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4)</w:t>
      </w:r>
      <w:r w:rsidRPr="00F50B51">
        <w:rPr>
          <w:rFonts w:ascii="宋体" w:eastAsia="宋体" w:hAnsi="宋体" w:cs="宋体"/>
          <w:sz w:val="18"/>
          <w:szCs w:val="18"/>
        </w:rPr>
        <w:t>、由于同一控制导致的合并范围变更，影响期初未分配利润元。</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、其他调整合计影响期初未分配利润元。</w:t>
      </w:r>
    </w:p>
    <w:p w:rsidR="0058782B" w:rsidRPr="00F50B51" w:rsidRDefault="00F80EE7">
      <w:pPr>
        <w:pStyle w:val="3"/>
        <w:spacing w:line="280" w:lineRule="exact"/>
        <w:jc w:val="left"/>
        <w:rPr>
          <w:rFonts w:ascii="宋体" w:hAnsi="宋体" w:cs="宋体"/>
          <w:b/>
          <w:bCs/>
        </w:rPr>
      </w:pPr>
      <w:bookmarkStart w:id="329" w:name="_Toc989217"/>
      <w:r w:rsidRPr="00F50B51">
        <w:rPr>
          <w:rFonts w:ascii="宋体" w:hAnsi="宋体" w:cs="宋体"/>
          <w:b/>
          <w:bCs/>
        </w:rPr>
        <w:t>61</w:t>
      </w:r>
      <w:r w:rsidRPr="00F50B51">
        <w:rPr>
          <w:rFonts w:ascii="宋体" w:hAnsi="宋体" w:cs="宋体"/>
          <w:b/>
          <w:bCs/>
        </w:rPr>
        <w:t>、营业收入和营业成本</w:t>
      </w:r>
      <w:bookmarkEnd w:id="32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成本</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成本</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主营业务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895,623,422.80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790,225,188.79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774,050,449.68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673,468,835.06</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其他业务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5,118,927.59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1,951,656.52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1,455,432.09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812,858.45</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900,742,350.39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792,176,845.31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775,505,881.77</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674,281,693.51</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收入相关信息：</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合同分类</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分部</w:t>
            </w:r>
            <w:r w:rsidRPr="00F50B51">
              <w:rPr>
                <w:rFonts w:ascii="宋体" w:eastAsia="宋体" w:hAnsi="宋体" w:cs="宋体"/>
                <w:sz w:val="18"/>
                <w:szCs w:val="18"/>
              </w:rPr>
              <w:t>1</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分部</w:t>
            </w:r>
            <w:r w:rsidRPr="00F50B51">
              <w:rPr>
                <w:rFonts w:ascii="宋体" w:eastAsia="宋体" w:hAnsi="宋体" w:cs="宋体"/>
                <w:sz w:val="18"/>
                <w:szCs w:val="18"/>
              </w:rPr>
              <w:t>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商品类型</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按经营地区分类</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市场或客户类型</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合同类型</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按商品转让的时间分类</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按合同期限分类</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按销售渠道分类</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与履约义务相关的信息：</w:t>
      </w:r>
    </w:p>
    <w:p w:rsidR="0058782B" w:rsidRPr="00F50B51" w:rsidRDefault="00F80EE7">
      <w:pPr>
        <w:pStyle w:val="a7"/>
        <w:rPr>
          <w:sz w:val="18"/>
          <w:szCs w:val="18"/>
        </w:rPr>
      </w:pPr>
      <w:r w:rsidRPr="00F50B51">
        <w:rPr>
          <w:rFonts w:hint="eastAsia"/>
          <w:sz w:val="18"/>
          <w:szCs w:val="18"/>
        </w:rPr>
        <w:t>无</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与分摊至剩余履约义务的交易价格相关的信息：</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本报告期末已签订合同、但尚未履行或尚未履行完毕的履约义务所对应的收入金额为</w:t>
      </w:r>
      <w:r w:rsidRPr="00F50B51">
        <w:rPr>
          <w:rFonts w:ascii="宋体" w:eastAsia="宋体" w:hAnsi="宋体" w:cs="宋体"/>
          <w:sz w:val="18"/>
          <w:szCs w:val="18"/>
        </w:rPr>
        <w:t>110,329,427.30</w:t>
      </w:r>
      <w:r w:rsidRPr="00F50B51">
        <w:rPr>
          <w:rFonts w:ascii="宋体" w:eastAsia="宋体" w:hAnsi="宋体" w:cs="宋体"/>
          <w:sz w:val="18"/>
          <w:szCs w:val="18"/>
        </w:rPr>
        <w:t>元，其中，</w:t>
      </w:r>
      <w:r w:rsidRPr="00F50B51">
        <w:rPr>
          <w:rFonts w:ascii="宋体" w:eastAsia="宋体" w:hAnsi="宋体" w:cs="宋体"/>
          <w:sz w:val="18"/>
          <w:szCs w:val="18"/>
        </w:rPr>
        <w:t>110,329,427.30</w:t>
      </w:r>
      <w:r w:rsidRPr="00F50B51">
        <w:rPr>
          <w:rFonts w:ascii="宋体" w:eastAsia="宋体" w:hAnsi="宋体" w:cs="宋体"/>
          <w:sz w:val="18"/>
          <w:szCs w:val="18"/>
        </w:rPr>
        <w:t>元预计将于</w:t>
      </w:r>
      <w:r w:rsidRPr="00F50B51">
        <w:rPr>
          <w:rFonts w:ascii="宋体" w:eastAsia="宋体" w:hAnsi="宋体" w:cs="宋体"/>
          <w:sz w:val="18"/>
          <w:szCs w:val="18"/>
        </w:rPr>
        <w:t>2022</w:t>
      </w:r>
      <w:r w:rsidRPr="00F50B51">
        <w:rPr>
          <w:rFonts w:ascii="宋体" w:eastAsia="宋体" w:hAnsi="宋体" w:cs="宋体"/>
          <w:sz w:val="18"/>
          <w:szCs w:val="18"/>
        </w:rPr>
        <w:t>年度确认收入。</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30" w:name="_Toc989218"/>
      <w:r w:rsidRPr="00F50B51">
        <w:rPr>
          <w:rFonts w:ascii="宋体" w:hAnsi="宋体" w:cs="宋体"/>
          <w:b/>
          <w:bCs/>
        </w:rPr>
        <w:t>62</w:t>
      </w:r>
      <w:r w:rsidRPr="00F50B51">
        <w:rPr>
          <w:rFonts w:ascii="宋体" w:hAnsi="宋体" w:cs="宋体"/>
          <w:b/>
          <w:bCs/>
        </w:rPr>
        <w:t>、税金及附加</w:t>
      </w:r>
      <w:bookmarkEnd w:id="33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38,456.79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86,997.10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19,008.98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41,789.88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资源税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215,252.28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495,049.78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234,136.12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113,591.96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土地使用税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162,228.25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176,004.24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车船使用税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3,571.20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印花税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2,126,756.81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437,355.27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残疾人基金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94,509.78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32,945.72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环境保护税</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15,685.48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9,268.92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地方教育附加</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12,672.67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27,859.91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2,922,278.36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1,421,372.78</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31" w:name="_Toc989219"/>
      <w:r w:rsidRPr="00F50B51">
        <w:rPr>
          <w:rFonts w:ascii="宋体" w:hAnsi="宋体" w:cs="宋体"/>
          <w:b/>
          <w:bCs/>
        </w:rPr>
        <w:t>63</w:t>
      </w:r>
      <w:r w:rsidRPr="00F50B51">
        <w:rPr>
          <w:rFonts w:ascii="宋体" w:hAnsi="宋体" w:cs="宋体"/>
          <w:b/>
          <w:bCs/>
        </w:rPr>
        <w:t>、销售费用</w:t>
      </w:r>
      <w:bookmarkEnd w:id="33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1,754,095.98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1,556,238.31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业务费用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540,661.85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125,215.20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广告宣传费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75,236.80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211,239.47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办公费用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275,191.53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44,185.67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差旅费用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41,079.14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57,150.65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运杂费用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248,463.73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189,314.50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84,672.18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85,784.91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3,019,401.21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2,269,128.71</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32" w:name="_Toc989220"/>
      <w:r w:rsidRPr="00F50B51">
        <w:rPr>
          <w:rFonts w:ascii="宋体" w:hAnsi="宋体" w:cs="宋体"/>
          <w:b/>
          <w:bCs/>
        </w:rPr>
        <w:t>64</w:t>
      </w:r>
      <w:r w:rsidRPr="00F50B51">
        <w:rPr>
          <w:rFonts w:ascii="宋体" w:hAnsi="宋体" w:cs="宋体"/>
          <w:b/>
          <w:bCs/>
        </w:rPr>
        <w:t>、管理费用</w:t>
      </w:r>
      <w:bookmarkEnd w:id="33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12,718,251.63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11,945,431.48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折旧与摊销</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6,617,981.10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6,263,535.38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办公费用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3,033,338.39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1,505,582.37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中介机构费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3,639,526.61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2,581,720.04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业务费用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1,233,225.46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496,903.45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行车费用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392,776.51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350,383.37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差旅费用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300,005.25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235,878.97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停工损失</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2,450,905.78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股权激励费用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5,121,433.34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514,957.00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504,285.81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36,022,401.07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23,883,720.87</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33" w:name="_Toc989221"/>
      <w:r w:rsidRPr="00F50B51">
        <w:rPr>
          <w:rFonts w:ascii="宋体" w:hAnsi="宋体" w:cs="宋体"/>
          <w:b/>
          <w:bCs/>
        </w:rPr>
        <w:t>65</w:t>
      </w:r>
      <w:r w:rsidRPr="00F50B51">
        <w:rPr>
          <w:rFonts w:ascii="宋体" w:hAnsi="宋体" w:cs="宋体"/>
          <w:b/>
          <w:bCs/>
        </w:rPr>
        <w:t>、研发费用</w:t>
      </w:r>
      <w:bookmarkEnd w:id="33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直接材料</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24,925,215.73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23,034,050.79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直接人工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5,259,730.18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4,143,540.74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设备折旧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2,073,732.95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1,186,054.25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燃料动力</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355,275.25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347,465.53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646,599.99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203,881.56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33,260,554.10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28,914,992.87</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34" w:name="_Toc989222"/>
      <w:r w:rsidRPr="00F50B51">
        <w:rPr>
          <w:rFonts w:ascii="宋体" w:hAnsi="宋体" w:cs="宋体"/>
          <w:b/>
          <w:bCs/>
        </w:rPr>
        <w:t>66</w:t>
      </w:r>
      <w:r w:rsidRPr="00F50B51">
        <w:rPr>
          <w:rFonts w:ascii="宋体" w:hAnsi="宋体" w:cs="宋体"/>
          <w:b/>
          <w:bCs/>
        </w:rPr>
        <w:t>、财务费用</w:t>
      </w:r>
      <w:bookmarkEnd w:id="33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利息支出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23,496,012.35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18,768,321.21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减：银行利息收入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982,523.32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838,341.54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关联方资金占用利息收入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239,649.71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汇兑损益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-8,232,269.68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-15,638.83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手续费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366,812.59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246,143.39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14,648,031.94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17,920,834.52</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35" w:name="_Toc989223"/>
      <w:r w:rsidRPr="00F50B51">
        <w:rPr>
          <w:rFonts w:ascii="宋体" w:hAnsi="宋体" w:cs="宋体"/>
          <w:b/>
          <w:bCs/>
        </w:rPr>
        <w:t>67</w:t>
      </w:r>
      <w:r w:rsidRPr="00F50B51">
        <w:rPr>
          <w:rFonts w:ascii="宋体" w:hAnsi="宋体" w:cs="宋体"/>
          <w:b/>
          <w:bCs/>
        </w:rPr>
        <w:t>、其他收益</w:t>
      </w:r>
      <w:bookmarkEnd w:id="33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产生其他收益的来源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高性能超细碳化钨循环技术改造项目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1,000,000.02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稀土钨</w:t>
            </w:r>
            <w:r w:rsidRPr="00F50B51">
              <w:rPr>
                <w:rFonts w:ascii="宋体" w:eastAsia="宋体" w:hAnsi="宋体" w:cs="宋体"/>
                <w:sz w:val="18"/>
                <w:szCs w:val="18"/>
              </w:rPr>
              <w:t>-</w:t>
            </w:r>
            <w:r w:rsidRPr="00F50B51">
              <w:rPr>
                <w:rFonts w:ascii="宋体" w:eastAsia="宋体" w:hAnsi="宋体" w:cs="宋体"/>
                <w:sz w:val="18"/>
                <w:szCs w:val="18"/>
              </w:rPr>
              <w:t>硬质合金产品销售奖励</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729,516.00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年产</w:t>
            </w:r>
            <w:r w:rsidRPr="00F50B51">
              <w:rPr>
                <w:rFonts w:ascii="宋体" w:eastAsia="宋体" w:hAnsi="宋体" w:cs="宋体"/>
                <w:sz w:val="18"/>
                <w:szCs w:val="18"/>
              </w:rPr>
              <w:t>3000</w:t>
            </w:r>
            <w:r w:rsidRPr="00F50B51">
              <w:rPr>
                <w:rFonts w:ascii="宋体" w:eastAsia="宋体" w:hAnsi="宋体" w:cs="宋体"/>
                <w:sz w:val="18"/>
                <w:szCs w:val="18"/>
              </w:rPr>
              <w:t>吨高性能碳化钨循环技改扩建项目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APT</w:t>
            </w:r>
            <w:r w:rsidRPr="00F50B51">
              <w:rPr>
                <w:rFonts w:ascii="宋体" w:eastAsia="宋体" w:hAnsi="宋体" w:cs="宋体"/>
                <w:sz w:val="18"/>
                <w:szCs w:val="18"/>
              </w:rPr>
              <w:t>生产重金属废水处理设施升级改造工程补贴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重金属污染防治专项资金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2016</w:t>
            </w:r>
            <w:r w:rsidRPr="00F50B51">
              <w:rPr>
                <w:rFonts w:ascii="宋体" w:eastAsia="宋体" w:hAnsi="宋体" w:cs="宋体"/>
                <w:sz w:val="18"/>
                <w:szCs w:val="18"/>
              </w:rPr>
              <w:t>年省级工业与信息发展专项资金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22,007.19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86,795.70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200t/a</w:t>
            </w:r>
            <w:r w:rsidRPr="00F50B51">
              <w:rPr>
                <w:rFonts w:ascii="宋体" w:eastAsia="宋体" w:hAnsi="宋体" w:cs="宋体"/>
                <w:sz w:val="18"/>
                <w:szCs w:val="18"/>
              </w:rPr>
              <w:t>硬质合金研发生产线技术改造项目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78,295.00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78,295.00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工业转型升级专项资金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64,999.98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64,999.98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2017</w:t>
            </w:r>
            <w:r w:rsidRPr="00F50B51">
              <w:rPr>
                <w:rFonts w:ascii="宋体" w:eastAsia="宋体" w:hAnsi="宋体" w:cs="宋体"/>
                <w:sz w:val="18"/>
                <w:szCs w:val="18"/>
              </w:rPr>
              <w:t>年省级治污保洁和节能减排专项资金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新型十五管还原炉双层推舟结构技术改造项目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大余县公共就业人才服务局岗前培训补贴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10,971.58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13,500.00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个人所得税全年扣缴税款</w:t>
            </w:r>
            <w:r w:rsidRPr="00F50B51">
              <w:rPr>
                <w:rFonts w:ascii="宋体" w:eastAsia="宋体" w:hAnsi="宋体" w:cs="宋体"/>
                <w:sz w:val="18"/>
                <w:szCs w:val="18"/>
              </w:rPr>
              <w:t>2%</w:t>
            </w:r>
            <w:r w:rsidRPr="00F50B51">
              <w:rPr>
                <w:rFonts w:ascii="宋体" w:eastAsia="宋体" w:hAnsi="宋体" w:cs="宋体"/>
                <w:sz w:val="18"/>
                <w:szCs w:val="18"/>
              </w:rPr>
              <w:t>手续费返回</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7,607.12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12,961.86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年企业自主网络招聘经费补贴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年县中小微企业吸纳应届毕业生就业补贴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92,142.34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2000T</w:t>
            </w:r>
            <w:r w:rsidRPr="00F50B51">
              <w:rPr>
                <w:rFonts w:ascii="宋体" w:eastAsia="宋体" w:hAnsi="宋体" w:cs="宋体"/>
                <w:sz w:val="18"/>
                <w:szCs w:val="18"/>
              </w:rPr>
              <w:t>特种碳化钨粉全自动智能化扩产增效技改项目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人力资源保障局以工代训补贴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广东省社会保险基金管理局稳岗补贴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65,935.39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潮州市人力资源保障局招录新员工补贴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20,800.00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年度地方经济贡献奖金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1,487,572.00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《全市稀土钨产品销售奖励方法（暂行）》硬质合金产品奖励</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349,476.71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工业企业电价补贴</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年专精特新小巨人制造业单项冠军资金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年高新企业县级奖励资金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pStyle w:val="3"/>
        <w:spacing w:line="280" w:lineRule="exact"/>
        <w:jc w:val="left"/>
        <w:rPr>
          <w:rFonts w:ascii="宋体" w:hAnsi="宋体" w:cs="宋体"/>
          <w:b/>
          <w:bCs/>
        </w:rPr>
      </w:pPr>
      <w:bookmarkStart w:id="336" w:name="_Toc989224"/>
      <w:r w:rsidRPr="00F50B51">
        <w:rPr>
          <w:rFonts w:ascii="宋体" w:hAnsi="宋体" w:cs="宋体"/>
          <w:b/>
          <w:bCs/>
        </w:rPr>
        <w:t>68</w:t>
      </w:r>
      <w:r w:rsidRPr="00F50B51">
        <w:rPr>
          <w:rFonts w:ascii="宋体" w:hAnsi="宋体" w:cs="宋体"/>
          <w:b/>
          <w:bCs/>
        </w:rPr>
        <w:t>、投资收益</w:t>
      </w:r>
      <w:bookmarkEnd w:id="33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处置可供出售金融资产等取得的投资收益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737,207.66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737,207.66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37" w:name="_Toc989225"/>
      <w:r w:rsidRPr="00F50B51">
        <w:rPr>
          <w:rFonts w:ascii="宋体" w:hAnsi="宋体" w:cs="宋体"/>
          <w:b/>
          <w:bCs/>
        </w:rPr>
        <w:t>69</w:t>
      </w:r>
      <w:r w:rsidRPr="00F50B51">
        <w:rPr>
          <w:rFonts w:ascii="宋体" w:hAnsi="宋体" w:cs="宋体"/>
          <w:b/>
          <w:bCs/>
        </w:rPr>
        <w:t>、净敞口套期收益</w:t>
      </w:r>
      <w:bookmarkEnd w:id="33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38" w:name="_Toc989226"/>
      <w:r w:rsidRPr="00F50B51">
        <w:rPr>
          <w:rFonts w:ascii="宋体" w:hAnsi="宋体" w:cs="宋体"/>
          <w:b/>
          <w:bCs/>
        </w:rPr>
        <w:t>70</w:t>
      </w:r>
      <w:r w:rsidRPr="00F50B51">
        <w:rPr>
          <w:rFonts w:ascii="宋体" w:hAnsi="宋体" w:cs="宋体"/>
          <w:b/>
          <w:bCs/>
        </w:rPr>
        <w:t>、公允价值变动收益</w:t>
      </w:r>
      <w:bookmarkEnd w:id="338"/>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产生公允价值变动收益的来源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-402,604.00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-402,604.00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39" w:name="_Toc989227"/>
      <w:r w:rsidRPr="00F50B51">
        <w:rPr>
          <w:rFonts w:ascii="宋体" w:hAnsi="宋体" w:cs="宋体"/>
          <w:b/>
          <w:bCs/>
        </w:rPr>
        <w:t>71</w:t>
      </w:r>
      <w:r w:rsidRPr="00F50B51">
        <w:rPr>
          <w:rFonts w:ascii="宋体" w:hAnsi="宋体" w:cs="宋体"/>
          <w:b/>
          <w:bCs/>
        </w:rPr>
        <w:t>、信用减值损失</w:t>
      </w:r>
      <w:bookmarkEnd w:id="33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其他应收款坏账损失</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269,802.33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115,281.74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应收票据坏账准备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26,451.12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应收账款坏账准备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-1,515,277.85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-1,945,867.50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-1,245,475.52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-1,804,134.64</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40" w:name="_Toc989228"/>
      <w:r w:rsidRPr="00F50B51">
        <w:rPr>
          <w:rFonts w:ascii="宋体" w:hAnsi="宋体" w:cs="宋体"/>
          <w:b/>
          <w:bCs/>
        </w:rPr>
        <w:t>72</w:t>
      </w:r>
      <w:r w:rsidRPr="00F50B51">
        <w:rPr>
          <w:rFonts w:ascii="宋体" w:hAnsi="宋体" w:cs="宋体"/>
          <w:b/>
          <w:bCs/>
        </w:rPr>
        <w:t>、资产减值损失</w:t>
      </w:r>
      <w:bookmarkEnd w:id="34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二、存货跌价损失及合同履约成本减值损失</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-2,115,017.40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-2,820,392.74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-2,115,017.40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-2,820,392.74</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41" w:name="_Toc989229"/>
      <w:r w:rsidRPr="00F50B51">
        <w:rPr>
          <w:rFonts w:ascii="宋体" w:hAnsi="宋体" w:cs="宋体"/>
          <w:b/>
          <w:bCs/>
        </w:rPr>
        <w:t>73</w:t>
      </w:r>
      <w:r w:rsidRPr="00F50B51">
        <w:rPr>
          <w:rFonts w:ascii="宋体" w:hAnsi="宋体" w:cs="宋体"/>
          <w:b/>
          <w:bCs/>
        </w:rPr>
        <w:t>、资产处置收益</w:t>
      </w:r>
      <w:bookmarkEnd w:id="34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资产处置收益的来源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处置固定资产收益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5,504.08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减：处置固定资产损失</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25,382.14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合</w:t>
            </w:r>
            <w:r w:rsidRPr="00F50B51">
              <w:rPr>
                <w:rFonts w:ascii="宋体" w:eastAsia="宋体" w:hAnsi="宋体" w:cs="宋体"/>
                <w:sz w:val="18"/>
                <w:szCs w:val="18"/>
              </w:rPr>
              <w:t xml:space="preserve">     </w:t>
            </w:r>
            <w:r w:rsidRPr="00F50B51">
              <w:rPr>
                <w:rFonts w:ascii="宋体" w:eastAsia="宋体" w:hAnsi="宋体" w:cs="宋体"/>
                <w:sz w:val="18"/>
                <w:szCs w:val="18"/>
              </w:rPr>
              <w:t>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-19,878.06</w:t>
            </w:r>
          </w:p>
        </w:tc>
      </w:tr>
    </w:tbl>
    <w:p w:rsidR="0058782B" w:rsidRPr="00F50B51" w:rsidRDefault="00F80EE7">
      <w:pPr>
        <w:pStyle w:val="3"/>
        <w:spacing w:line="280" w:lineRule="exact"/>
        <w:jc w:val="left"/>
        <w:rPr>
          <w:rFonts w:ascii="宋体" w:hAnsi="宋体" w:cs="宋体"/>
          <w:b/>
          <w:bCs/>
        </w:rPr>
      </w:pPr>
      <w:bookmarkStart w:id="342" w:name="_Toc989230"/>
      <w:r w:rsidRPr="00F50B51">
        <w:rPr>
          <w:rFonts w:ascii="宋体" w:hAnsi="宋体" w:cs="宋体"/>
          <w:b/>
          <w:bCs/>
        </w:rPr>
        <w:t>74</w:t>
      </w:r>
      <w:r w:rsidRPr="00F50B51">
        <w:rPr>
          <w:rFonts w:ascii="宋体" w:hAnsi="宋体" w:cs="宋体"/>
          <w:b/>
          <w:bCs/>
        </w:rPr>
        <w:t>、营业外收入</w:t>
      </w:r>
      <w:bookmarkEnd w:id="34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计入当期非经常性损益的金额</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4,600.40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1,300.00</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非流动资产毁损报废利得</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14,600.40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1,300.00</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计入当期损益的政府补助：</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补助项目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发放主体</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发放原因</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性质类型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补贴是否影响当年盈亏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是否特殊补贴</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与资产相关</w:t>
            </w:r>
            <w:r w:rsidRPr="00F50B51">
              <w:rPr>
                <w:rFonts w:ascii="宋体" w:eastAsia="宋体" w:hAnsi="宋体" w:cs="宋体"/>
                <w:sz w:val="18"/>
                <w:szCs w:val="18"/>
              </w:rPr>
              <w:t>/</w:t>
            </w:r>
            <w:r w:rsidRPr="00F50B51">
              <w:rPr>
                <w:rFonts w:ascii="宋体" w:eastAsia="宋体" w:hAnsi="宋体" w:cs="宋体"/>
                <w:sz w:val="18"/>
                <w:szCs w:val="18"/>
              </w:rPr>
              <w:t>与收益相关</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43" w:name="_Toc989231"/>
      <w:r w:rsidRPr="00F50B51">
        <w:rPr>
          <w:rFonts w:ascii="宋体" w:hAnsi="宋体" w:cs="宋体"/>
          <w:b/>
          <w:bCs/>
        </w:rPr>
        <w:t>75</w:t>
      </w:r>
      <w:r w:rsidRPr="00F50B51">
        <w:rPr>
          <w:rFonts w:ascii="宋体" w:hAnsi="宋体" w:cs="宋体"/>
          <w:b/>
          <w:bCs/>
        </w:rPr>
        <w:t>、营业外支出</w:t>
      </w:r>
      <w:bookmarkEnd w:id="34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计入当期非经常性损益的金额</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对外捐赠</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60,000.00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固定资产报废损失</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272,987.33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146,805.69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272,987.33</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其他支出</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899.40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60,480.40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899.40</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273,886.73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267,286.09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273,886.73</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44" w:name="_Toc989232"/>
      <w:r w:rsidRPr="00F50B51">
        <w:rPr>
          <w:rFonts w:ascii="宋体" w:hAnsi="宋体" w:cs="宋体"/>
          <w:b/>
          <w:bCs/>
        </w:rPr>
        <w:t>76</w:t>
      </w:r>
      <w:r w:rsidRPr="00F50B51">
        <w:rPr>
          <w:rFonts w:ascii="宋体" w:hAnsi="宋体" w:cs="宋体"/>
          <w:b/>
          <w:bCs/>
        </w:rPr>
        <w:t>、所得税费用</w:t>
      </w:r>
      <w:bookmarkEnd w:id="344"/>
    </w:p>
    <w:p w:rsidR="0058782B" w:rsidRPr="00F50B51" w:rsidRDefault="00F80EE7">
      <w:pPr>
        <w:keepNext/>
        <w:keepLines/>
        <w:spacing w:before="300" w:after="300" w:line="280" w:lineRule="exact"/>
        <w:outlineLvl w:val="3"/>
        <w:rPr>
          <w:rFonts w:ascii="宋体" w:eastAsia="宋体" w:hAnsi="宋体" w:cs="宋体"/>
          <w:b/>
          <w:bCs/>
          <w:szCs w:val="21"/>
        </w:rPr>
      </w:pPr>
      <w:bookmarkStart w:id="345" w:name="_Toc989233"/>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所得税费用表</w:t>
      </w:r>
      <w:bookmarkEnd w:id="34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当期所得税费用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-630,099.21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1,373,507.37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递延所得税费用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-2,020,990.30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-1,141,638.95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-2,651,089.51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231,868.42</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346" w:name="_Toc989234"/>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会计利润与所得税费用调整过程</w:t>
      </w:r>
      <w:bookmarkEnd w:id="34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利润总额</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20,429,169.76</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按法定</w:t>
            </w:r>
            <w:r w:rsidRPr="00F50B51">
              <w:rPr>
                <w:rFonts w:ascii="宋体" w:eastAsia="宋体" w:hAnsi="宋体" w:cs="宋体"/>
                <w:sz w:val="18"/>
                <w:szCs w:val="18"/>
              </w:rPr>
              <w:t>/</w:t>
            </w:r>
            <w:r w:rsidRPr="00F50B51">
              <w:rPr>
                <w:rFonts w:ascii="宋体" w:eastAsia="宋体" w:hAnsi="宋体" w:cs="宋体"/>
                <w:sz w:val="18"/>
                <w:szCs w:val="18"/>
              </w:rPr>
              <w:t>适用税率计算的所得税费用</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3,064,375.46</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子公司适用不同税率的影响</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-1,071,789.46</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调整以前期间所得税的影响</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-667,624.00</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不可抵扣的成本、费用和损失的影响</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166,867.23</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本期未确认递延所得税资产的可抵扣暂时性差异或可抵扣亏损的影响</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1,662,161.52</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本期使用提取的安全生产费的影响</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-1,003,895.80</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技术开发费加计扣除的影响</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-4,801,184.46</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所得税费用</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-2,651,089.51</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47" w:name="_Toc989235"/>
      <w:r w:rsidRPr="00F50B51">
        <w:rPr>
          <w:rFonts w:ascii="宋体" w:hAnsi="宋体" w:cs="宋体"/>
          <w:b/>
          <w:bCs/>
        </w:rPr>
        <w:t>77</w:t>
      </w:r>
      <w:r w:rsidRPr="00F50B51">
        <w:rPr>
          <w:rFonts w:ascii="宋体" w:hAnsi="宋体" w:cs="宋体"/>
          <w:b/>
          <w:bCs/>
        </w:rPr>
        <w:t>、其他综合收益</w:t>
      </w:r>
      <w:bookmarkEnd w:id="347"/>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详见附注</w:t>
      </w:r>
    </w:p>
    <w:p w:rsidR="0058782B" w:rsidRPr="00F50B51" w:rsidRDefault="00F80EE7">
      <w:pPr>
        <w:pStyle w:val="3"/>
        <w:spacing w:line="280" w:lineRule="exact"/>
        <w:jc w:val="left"/>
        <w:rPr>
          <w:rFonts w:ascii="宋体" w:hAnsi="宋体" w:cs="宋体"/>
          <w:b/>
          <w:bCs/>
        </w:rPr>
      </w:pPr>
      <w:bookmarkStart w:id="348" w:name="_Toc989236"/>
      <w:r w:rsidRPr="00F50B51">
        <w:rPr>
          <w:rFonts w:ascii="宋体" w:hAnsi="宋体" w:cs="宋体"/>
          <w:b/>
          <w:bCs/>
        </w:rPr>
        <w:t>78</w:t>
      </w:r>
      <w:r w:rsidRPr="00F50B51">
        <w:rPr>
          <w:rFonts w:ascii="宋体" w:hAnsi="宋体" w:cs="宋体"/>
          <w:b/>
          <w:bCs/>
        </w:rPr>
        <w:t>、现金流量表项目</w:t>
      </w:r>
      <w:bookmarkEnd w:id="348"/>
    </w:p>
    <w:p w:rsidR="0058782B" w:rsidRPr="00F50B51" w:rsidRDefault="00F80EE7">
      <w:pPr>
        <w:keepNext/>
        <w:keepLines/>
        <w:spacing w:before="300" w:after="300" w:line="280" w:lineRule="exact"/>
        <w:outlineLvl w:val="3"/>
        <w:rPr>
          <w:rFonts w:ascii="宋体" w:eastAsia="宋体" w:hAnsi="宋体" w:cs="宋体"/>
          <w:b/>
          <w:bCs/>
          <w:szCs w:val="21"/>
        </w:rPr>
      </w:pPr>
      <w:bookmarkStart w:id="349" w:name="_Toc989237"/>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收到的其他与经营活动有关的现金</w:t>
      </w:r>
      <w:bookmarkEnd w:id="34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解押的银行承兑汇票保证金及保函保证金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111,291,986.25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98,893,873.21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收到的政府补助</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4,698,421.31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202,448.54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收到的银行存款利息</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1,119,144.50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846,016.29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收到的往来款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912,251.91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370,140.06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62,568.74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21,367.26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118,084,372.71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100,333,845.36</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收到的其他与经营活动有关的现金说明：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350" w:name="_Toc989238"/>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支付的其他与经营活动有关的现金</w:t>
      </w:r>
      <w:bookmarkEnd w:id="35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支付的银行承兑汇票保证金及保函保证金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94,825,544.22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77,198,853.41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支付销售费用和管理费用等</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18,176,082.16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10,940,192.63</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捐赠支出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支付的往来款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2,911,147.06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2,344,636.42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405,755.08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408,399.16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116,318,528.52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90,952,081.62</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支付的其他与经营活动有关的现金说明：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351" w:name="_Toc989239"/>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收到的其他与投资活动有关的现金</w:t>
      </w:r>
      <w:bookmarkEnd w:id="35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收回的关联方资金占用款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22,903,804.02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赎回银行理财产品投资款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55,000,000.00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77,903,804.02</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收到的其他与投资活动有关的现金说明：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352" w:name="_Toc989240"/>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支付的其他与投资活动有关的现金</w:t>
      </w:r>
      <w:bookmarkEnd w:id="35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支付的关联方资金占用款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支付银行理财产品投资款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85,500,000.00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股权激励回购支付的现金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95,200,000.00</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支付的其他与投资活动有关的现金说明：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353" w:name="_Toc989241"/>
      <w:r w:rsidRPr="00F50B51">
        <w:rPr>
          <w:rFonts w:ascii="宋体" w:eastAsia="宋体" w:hAnsi="宋体" w:cs="宋体"/>
          <w:b/>
          <w:bCs/>
          <w:szCs w:val="21"/>
        </w:rPr>
        <w:t>（</w:t>
      </w:r>
      <w:r w:rsidRPr="00F50B51">
        <w:rPr>
          <w:rFonts w:ascii="宋体" w:eastAsia="宋体" w:hAnsi="宋体" w:cs="宋体"/>
          <w:b/>
          <w:bCs/>
          <w:szCs w:val="21"/>
        </w:rPr>
        <w:t>5</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收到的其他与筹资活动有关的现金</w:t>
      </w:r>
      <w:bookmarkEnd w:id="35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银行承兑汇票及信用证保证金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收到的未验收的政府补助项目款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收到的其他与筹资活动有关的现金说明：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354" w:name="_Toc989242"/>
      <w:r w:rsidRPr="00F50B51">
        <w:rPr>
          <w:rFonts w:ascii="宋体" w:eastAsia="宋体" w:hAnsi="宋体" w:cs="宋体"/>
          <w:b/>
          <w:bCs/>
          <w:szCs w:val="21"/>
        </w:rPr>
        <w:t>（</w:t>
      </w:r>
      <w:r w:rsidRPr="00F50B51">
        <w:rPr>
          <w:rFonts w:ascii="宋体" w:eastAsia="宋体" w:hAnsi="宋体" w:cs="宋体"/>
          <w:b/>
          <w:bCs/>
          <w:szCs w:val="21"/>
        </w:rPr>
        <w:t>6</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支付的其他与筹资活动有关的现金</w:t>
      </w:r>
      <w:bookmarkEnd w:id="35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银行承兑汇票及信用证保证金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购买少数股权而支付给少数股东的现金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2,469,437.61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股权激励回购支付的现金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3,649,510.18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支付的其他个人或单位款项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6,118,947.79</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支付的其他与筹资活动有关的现金说明：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55" w:name="_Toc989243"/>
      <w:r w:rsidRPr="00F50B51">
        <w:rPr>
          <w:rFonts w:ascii="宋体" w:hAnsi="宋体" w:cs="宋体"/>
          <w:b/>
          <w:bCs/>
        </w:rPr>
        <w:t>79</w:t>
      </w:r>
      <w:r w:rsidRPr="00F50B51">
        <w:rPr>
          <w:rFonts w:ascii="宋体" w:hAnsi="宋体" w:cs="宋体"/>
          <w:b/>
          <w:bCs/>
        </w:rPr>
        <w:t>、现金流量表补充资料</w:t>
      </w:r>
      <w:bookmarkEnd w:id="355"/>
    </w:p>
    <w:p w:rsidR="0058782B" w:rsidRPr="00F50B51" w:rsidRDefault="00F80EE7">
      <w:pPr>
        <w:keepNext/>
        <w:keepLines/>
        <w:spacing w:before="300" w:after="300" w:line="280" w:lineRule="exact"/>
        <w:outlineLvl w:val="3"/>
        <w:rPr>
          <w:rFonts w:ascii="宋体" w:eastAsia="宋体" w:hAnsi="宋体" w:cs="宋体"/>
          <w:b/>
          <w:bCs/>
          <w:szCs w:val="21"/>
        </w:rPr>
      </w:pPr>
      <w:bookmarkStart w:id="356" w:name="_Toc989244"/>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现金流量表补充资料</w:t>
      </w:r>
      <w:bookmarkEnd w:id="35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补充资料</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上期金额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．将净利润调节为经营活动现金流量：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净利润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23,080,259.27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24,277,247.52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加：资产减值准备</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3,360,492.92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4,624,527.38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固定资产折旧、油气资产折耗、生产性生物资产折旧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37,037,769.58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33,684,663.95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使用权资产折旧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514,876.61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无形资产摊销</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1,411,041.32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1,805,848.10</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长期待摊费用摊销</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2,170,527.38</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2,102,214.09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处置固定资产、无形资产和其他长期资产的损失（收益以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19,878.07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固定资产报废损失（收益以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272,987.33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146,805.69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公允价值变动损失（收益以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402,604.00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财务费用（收益以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15,263,742.67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18,768,321.21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投资损失（收益以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-737,207.66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递延所得税资产减少（增加以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-1,732,620.65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-1,138,447.68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递延所得税负债增加（减少以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-237,291.52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-3,191.26</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存货的减少（增加以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37,844,843.79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68,253,774.22</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经营性应收项目的减少（增加以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-56,245,539.85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-64,359,036.51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经营性应付项目的增加（减少以</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w:t>
            </w:r>
            <w:r w:rsidRPr="00F50B51">
              <w:rPr>
                <w:rFonts w:ascii="宋体" w:eastAsia="宋体" w:hAnsi="宋体" w:cs="宋体"/>
                <w:sz w:val="18"/>
                <w:szCs w:val="18"/>
              </w:rPr>
              <w:t>号填列）</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-44,408,736.52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-76,268,708.95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8,411,465.92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-1,240,610.29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26,409,214.59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10,673,285.54</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．不涉及现金收支的重大投资和筹资活动：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债务转为资本</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一年内到期的可转换公司债券</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融资租入固定资产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．现金及现金等价物净变动情况：</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现金的期末余额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171,348,439.04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95,196,394.18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减：现金的期初余额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134,323,936.11</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123,633,768.79</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加：现金等价物的期末余额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减：现金等价物的期初余额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37,024,502.93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-28,437,374.61</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357" w:name="_Toc989245"/>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本期支付的取得子公司的现金净额</w:t>
      </w:r>
      <w:bookmarkEnd w:id="35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358" w:name="_Toc989246"/>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本期收到的处置子公司的现金净额</w:t>
      </w:r>
      <w:bookmarkEnd w:id="358"/>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359" w:name="_Toc989247"/>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现金和现金等价物的构成</w:t>
      </w:r>
      <w:bookmarkEnd w:id="35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171,348,439.04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134,323,936.11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其中：库存现金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29,101.84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380,175.47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可随时用于支付的银行存款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171,319,341.70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94,816,218.71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171,348,439.04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134,323,936.11</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60" w:name="_Toc989248"/>
      <w:r w:rsidRPr="00F50B51">
        <w:rPr>
          <w:rFonts w:ascii="宋体" w:hAnsi="宋体" w:cs="宋体"/>
          <w:b/>
          <w:bCs/>
        </w:rPr>
        <w:t>80</w:t>
      </w:r>
      <w:r w:rsidRPr="00F50B51">
        <w:rPr>
          <w:rFonts w:ascii="宋体" w:hAnsi="宋体" w:cs="宋体"/>
          <w:b/>
          <w:bCs/>
        </w:rPr>
        <w:t>、所有者权益变动表项目注释</w:t>
      </w:r>
      <w:bookmarkEnd w:id="360"/>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说明对上年期末余额进行调整的</w:t>
      </w:r>
      <w:r w:rsidRPr="00F50B51">
        <w:rPr>
          <w:rFonts w:ascii="宋体" w:eastAsia="宋体" w:hAnsi="宋体" w:cs="宋体"/>
          <w:sz w:val="18"/>
          <w:szCs w:val="18"/>
        </w:rPr>
        <w:t>“</w:t>
      </w:r>
      <w:r w:rsidRPr="00F50B51">
        <w:rPr>
          <w:rFonts w:ascii="宋体" w:eastAsia="宋体" w:hAnsi="宋体" w:cs="宋体"/>
          <w:sz w:val="18"/>
          <w:szCs w:val="18"/>
        </w:rPr>
        <w:t>其他</w:t>
      </w:r>
      <w:r w:rsidRPr="00F50B51">
        <w:rPr>
          <w:rFonts w:ascii="宋体" w:eastAsia="宋体" w:hAnsi="宋体" w:cs="宋体"/>
          <w:sz w:val="18"/>
          <w:szCs w:val="18"/>
        </w:rPr>
        <w:t>”</w:t>
      </w:r>
      <w:r w:rsidRPr="00F50B51">
        <w:rPr>
          <w:rFonts w:ascii="宋体" w:eastAsia="宋体" w:hAnsi="宋体" w:cs="宋体"/>
          <w:sz w:val="18"/>
          <w:szCs w:val="18"/>
        </w:rPr>
        <w:t>项目名称及调整金额等事项：</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61" w:name="_Toc989249"/>
      <w:r w:rsidRPr="00F50B51">
        <w:rPr>
          <w:rFonts w:ascii="宋体" w:hAnsi="宋体" w:cs="宋体"/>
          <w:b/>
          <w:bCs/>
        </w:rPr>
        <w:t>81</w:t>
      </w:r>
      <w:r w:rsidRPr="00F50B51">
        <w:rPr>
          <w:rFonts w:ascii="宋体" w:hAnsi="宋体" w:cs="宋体"/>
          <w:b/>
          <w:bCs/>
        </w:rPr>
        <w:t>、所有权或使用权受到限制的资产</w:t>
      </w:r>
      <w:bookmarkEnd w:id="36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受限原因</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92,919,178.70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为本公司银行承兑汇票设置质押担保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60,633,411.90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为本公司银行借款设置抵押担保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49,265,132.65</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为本公司银行借款及银行承兑汇票设置抵押担保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长期股权投资</w:t>
            </w:r>
            <w:r w:rsidRPr="00F50B51">
              <w:rPr>
                <w:rFonts w:ascii="宋体" w:eastAsia="宋体" w:hAnsi="宋体" w:cs="宋体"/>
                <w:sz w:val="18"/>
                <w:szCs w:val="18"/>
              </w:rPr>
              <w:t>-</w:t>
            </w:r>
            <w:r w:rsidRPr="00F50B51">
              <w:rPr>
                <w:rFonts w:ascii="宋体" w:eastAsia="宋体" w:hAnsi="宋体" w:cs="宋体"/>
                <w:sz w:val="18"/>
                <w:szCs w:val="18"/>
              </w:rPr>
              <w:t>子公司股权</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275,000,000.00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为本公司银行借款设置质押担保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477,817,723.25</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62" w:name="_Toc989250"/>
      <w:r w:rsidRPr="00F50B51">
        <w:rPr>
          <w:rFonts w:ascii="宋体" w:hAnsi="宋体" w:cs="宋体"/>
          <w:b/>
          <w:bCs/>
        </w:rPr>
        <w:t>82</w:t>
      </w:r>
      <w:r w:rsidRPr="00F50B51">
        <w:rPr>
          <w:rFonts w:ascii="宋体" w:hAnsi="宋体" w:cs="宋体"/>
          <w:b/>
          <w:bCs/>
        </w:rPr>
        <w:t>、外币货币性项目</w:t>
      </w:r>
      <w:bookmarkEnd w:id="362"/>
    </w:p>
    <w:p w:rsidR="0058782B" w:rsidRPr="00F50B51" w:rsidRDefault="00F80EE7">
      <w:pPr>
        <w:keepNext/>
        <w:keepLines/>
        <w:spacing w:before="300" w:after="300" w:line="280" w:lineRule="exact"/>
        <w:outlineLvl w:val="3"/>
        <w:rPr>
          <w:rFonts w:ascii="宋体" w:eastAsia="宋体" w:hAnsi="宋体" w:cs="宋体"/>
          <w:b/>
          <w:bCs/>
          <w:szCs w:val="21"/>
        </w:rPr>
      </w:pPr>
      <w:bookmarkStart w:id="363" w:name="_Toc989251"/>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外币货币性项目</w:t>
      </w:r>
      <w:bookmarkEnd w:id="36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期末外币余额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折算汇率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期末折算人民币余额</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货币资金</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4,609,649.76</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6.7114</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30,937,203.40</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7.0084</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0.14</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瑞士法郎</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0.15</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7.0299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1.05</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应收账款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13,915,426.26</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6.7114</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93,391,991.80</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长期借款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364" w:name="_Toc989252"/>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境外经营实体说明，包括对于重要的境外经营实体，应披露其境外主要经营地、记账本位币及选择依据，记账本位币发生变化的还应披露原因。</w:t>
      </w:r>
      <w:bookmarkEnd w:id="364"/>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3"/>
        <w:spacing w:line="280" w:lineRule="exact"/>
        <w:jc w:val="left"/>
        <w:rPr>
          <w:rFonts w:ascii="宋体" w:hAnsi="宋体" w:cs="宋体"/>
          <w:b/>
          <w:bCs/>
        </w:rPr>
      </w:pPr>
      <w:bookmarkStart w:id="365" w:name="_Toc989253"/>
      <w:r w:rsidRPr="00F50B51">
        <w:rPr>
          <w:rFonts w:ascii="宋体" w:hAnsi="宋体" w:cs="宋体"/>
          <w:b/>
          <w:bCs/>
        </w:rPr>
        <w:t>83</w:t>
      </w:r>
      <w:r w:rsidRPr="00F50B51">
        <w:rPr>
          <w:rFonts w:ascii="宋体" w:hAnsi="宋体" w:cs="宋体"/>
          <w:b/>
          <w:bCs/>
        </w:rPr>
        <w:t>、套期</w:t>
      </w:r>
      <w:bookmarkEnd w:id="365"/>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按照套期类别披露套期项目及相关套期工具、被套期风险的定性和定量信息：</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66" w:name="_Toc989254"/>
      <w:r w:rsidRPr="00F50B51">
        <w:rPr>
          <w:rFonts w:ascii="宋体" w:hAnsi="宋体" w:cs="宋体"/>
          <w:b/>
          <w:bCs/>
        </w:rPr>
        <w:t>84</w:t>
      </w:r>
      <w:r w:rsidRPr="00F50B51">
        <w:rPr>
          <w:rFonts w:ascii="宋体" w:hAnsi="宋体" w:cs="宋体"/>
          <w:b/>
          <w:bCs/>
        </w:rPr>
        <w:t>、政府补助</w:t>
      </w:r>
      <w:bookmarkEnd w:id="366"/>
    </w:p>
    <w:p w:rsidR="0058782B" w:rsidRPr="00F50B51" w:rsidRDefault="00F80EE7">
      <w:pPr>
        <w:keepNext/>
        <w:keepLines/>
        <w:spacing w:before="300" w:after="300" w:line="280" w:lineRule="exact"/>
        <w:outlineLvl w:val="3"/>
        <w:rPr>
          <w:rFonts w:ascii="宋体" w:eastAsia="宋体" w:hAnsi="宋体" w:cs="宋体"/>
          <w:b/>
          <w:bCs/>
          <w:szCs w:val="21"/>
        </w:rPr>
      </w:pPr>
      <w:bookmarkStart w:id="367" w:name="_Toc989255"/>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政府补助基本情况</w:t>
      </w:r>
      <w:bookmarkEnd w:id="36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种类</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列报项目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计入当期损益的金额</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与资产相关</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1,600,302.21</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1,600,302.21</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与收益相关</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3,434,505.14</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3,434,505.14</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368" w:name="_Toc989256"/>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政府补助退回情况</w:t>
      </w:r>
      <w:bookmarkEnd w:id="368"/>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69" w:name="_Toc989257"/>
      <w:r w:rsidRPr="00F50B51">
        <w:rPr>
          <w:rFonts w:ascii="宋体" w:hAnsi="宋体" w:cs="宋体"/>
          <w:b/>
          <w:bCs/>
        </w:rPr>
        <w:t>85</w:t>
      </w:r>
      <w:r w:rsidRPr="00F50B51">
        <w:rPr>
          <w:rFonts w:ascii="宋体" w:hAnsi="宋体" w:cs="宋体"/>
          <w:b/>
          <w:bCs/>
        </w:rPr>
        <w:t>、其他</w:t>
      </w:r>
      <w:bookmarkEnd w:id="369"/>
    </w:p>
    <w:p w:rsidR="0058782B" w:rsidRPr="00F50B51" w:rsidRDefault="0058782B">
      <w:pPr>
        <w:rPr>
          <w:sz w:val="18"/>
          <w:szCs w:val="18"/>
        </w:rPr>
      </w:pPr>
    </w:p>
    <w:p w:rsidR="0058782B" w:rsidRPr="00F50B51" w:rsidRDefault="00F80EE7">
      <w:pPr>
        <w:pStyle w:val="2"/>
        <w:spacing w:before="300" w:after="300" w:line="320" w:lineRule="exact"/>
        <w:rPr>
          <w:rFonts w:ascii="宋体" w:eastAsia="宋体" w:hAnsi="宋体" w:cs="宋体"/>
          <w:b/>
          <w:bCs/>
          <w:sz w:val="24"/>
          <w:szCs w:val="24"/>
        </w:rPr>
      </w:pPr>
      <w:bookmarkStart w:id="370" w:name="_Toc989258"/>
      <w:r w:rsidRPr="00F50B51">
        <w:rPr>
          <w:rFonts w:ascii="宋体" w:eastAsia="宋体" w:hAnsi="宋体" w:cs="宋体"/>
          <w:b/>
          <w:bCs/>
          <w:sz w:val="24"/>
          <w:szCs w:val="24"/>
        </w:rPr>
        <w:t>八、合并范围的变更</w:t>
      </w:r>
      <w:bookmarkEnd w:id="370"/>
    </w:p>
    <w:p w:rsidR="0058782B" w:rsidRPr="00F50B51" w:rsidRDefault="00F80EE7">
      <w:pPr>
        <w:pStyle w:val="3"/>
        <w:spacing w:line="280" w:lineRule="exact"/>
        <w:jc w:val="left"/>
        <w:rPr>
          <w:rFonts w:ascii="宋体" w:hAnsi="宋体" w:cs="宋体"/>
          <w:b/>
          <w:bCs/>
        </w:rPr>
      </w:pPr>
      <w:bookmarkStart w:id="371" w:name="_Toc989259"/>
      <w:r w:rsidRPr="00F50B51">
        <w:rPr>
          <w:rFonts w:ascii="宋体" w:hAnsi="宋体" w:cs="宋体"/>
          <w:b/>
          <w:bCs/>
        </w:rPr>
        <w:t>1</w:t>
      </w:r>
      <w:r w:rsidRPr="00F50B51">
        <w:rPr>
          <w:rFonts w:ascii="宋体" w:hAnsi="宋体" w:cs="宋体"/>
          <w:b/>
          <w:bCs/>
        </w:rPr>
        <w:t>、非同一控制下企业合并</w:t>
      </w:r>
      <w:bookmarkEnd w:id="371"/>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72" w:name="_Toc989260"/>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本期发生的非同一控制下企业合并</w:t>
      </w:r>
      <w:bookmarkEnd w:id="37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被购买方名称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股权取得时点</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股权取得成本</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股权取得比例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股权取得方式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购买日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购买日的确定依据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购买日至期末被购买方的收入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购买日至期末被购买方的净利润</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73" w:name="_Toc989261"/>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合并成本及商誉</w:t>
      </w:r>
      <w:bookmarkEnd w:id="37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合并成本</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现金</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非现金资产的公允价值</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发行或承担的债务的公允价值</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发行的权益性证券的公允价值</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或有对价的公允价值</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购买日之前持有的股权于购买日的公允价值</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其他</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合并成本合计</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减：取得的可辨认净资产公允价值份额</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商誉</w:t>
            </w:r>
            <w:r w:rsidRPr="00F50B51">
              <w:rPr>
                <w:rFonts w:ascii="宋体" w:eastAsia="宋体" w:hAnsi="宋体" w:cs="宋体"/>
                <w:sz w:val="18"/>
                <w:szCs w:val="18"/>
              </w:rPr>
              <w:t>/</w:t>
            </w:r>
            <w:r w:rsidRPr="00F50B51">
              <w:rPr>
                <w:rFonts w:ascii="宋体" w:eastAsia="宋体" w:hAnsi="宋体" w:cs="宋体"/>
                <w:sz w:val="18"/>
                <w:szCs w:val="18"/>
              </w:rPr>
              <w:t>合并成本小于取得的可辨认净资产公允价值份额的金额</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合并成本公允价值的确定方法、或有对价及其变动的说明：</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大额商誉形成的主要原因：</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74" w:name="_Toc989262"/>
      <w:r w:rsidRPr="00F50B51">
        <w:rPr>
          <w:rFonts w:ascii="宋体" w:eastAsia="宋体" w:hAnsi="宋体" w:cs="宋体"/>
          <w:b/>
          <w:bCs/>
          <w:sz w:val="18"/>
          <w:szCs w:val="18"/>
        </w:rPr>
        <w:t>（</w:t>
      </w:r>
      <w:r w:rsidRPr="00F50B51">
        <w:rPr>
          <w:rFonts w:ascii="宋体" w:eastAsia="宋体" w:hAnsi="宋体" w:cs="宋体"/>
          <w:b/>
          <w:bCs/>
          <w:sz w:val="18"/>
          <w:szCs w:val="18"/>
        </w:rPr>
        <w:t>3</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被购买方于购买日可辨认资产、负债</w:t>
      </w:r>
      <w:bookmarkEnd w:id="37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6426"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r>
      <w:tr w:rsidR="0058782B" w:rsidRPr="00F50B51">
        <w:trPr>
          <w:trHeight w:val="240"/>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购买日公允价值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购买日账面价值</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应收款项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应付款项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净资产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减：少数股东权益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取得的净资产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可辨认资产、负债公允价值的确定方法：</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企业合并中承担的被购买方的或有负债：</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75" w:name="_Toc989263"/>
      <w:r w:rsidRPr="00F50B51">
        <w:rPr>
          <w:rFonts w:ascii="宋体" w:eastAsia="宋体" w:hAnsi="宋体" w:cs="宋体"/>
          <w:b/>
          <w:bCs/>
          <w:sz w:val="18"/>
          <w:szCs w:val="18"/>
        </w:rPr>
        <w:t>（</w:t>
      </w:r>
      <w:r w:rsidRPr="00F50B51">
        <w:rPr>
          <w:rFonts w:ascii="宋体" w:eastAsia="宋体" w:hAnsi="宋体" w:cs="宋体"/>
          <w:b/>
          <w:bCs/>
          <w:sz w:val="18"/>
          <w:szCs w:val="18"/>
        </w:rPr>
        <w:t>4</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购买日之前持有的股权按照公允价值重新计量产生的利得或损失</w:t>
      </w:r>
      <w:bookmarkEnd w:id="375"/>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是否存在通过多次交易分步实现企业合并且在报告期内取得控制权的交易</w:t>
      </w:r>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是</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否</w:t>
      </w: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76" w:name="_Toc989264"/>
      <w:r w:rsidRPr="00F50B51">
        <w:rPr>
          <w:rFonts w:ascii="宋体" w:eastAsia="宋体" w:hAnsi="宋体" w:cs="宋体"/>
          <w:b/>
          <w:bCs/>
          <w:sz w:val="18"/>
          <w:szCs w:val="18"/>
        </w:rPr>
        <w:t>（</w:t>
      </w:r>
      <w:r w:rsidRPr="00F50B51">
        <w:rPr>
          <w:rFonts w:ascii="宋体" w:eastAsia="宋体" w:hAnsi="宋体" w:cs="宋体"/>
          <w:b/>
          <w:bCs/>
          <w:sz w:val="18"/>
          <w:szCs w:val="18"/>
        </w:rPr>
        <w:t>5</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购买日或合并当期期末无法合理确定合并对价或被购买方可辨认资产、负债公允价值的相关说明</w:t>
      </w:r>
      <w:bookmarkEnd w:id="376"/>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77" w:name="_Toc989265"/>
      <w:r w:rsidRPr="00F50B51">
        <w:rPr>
          <w:rFonts w:ascii="宋体" w:eastAsia="宋体" w:hAnsi="宋体" w:cs="宋体"/>
          <w:b/>
          <w:bCs/>
          <w:sz w:val="18"/>
          <w:szCs w:val="18"/>
        </w:rPr>
        <w:t>（</w:t>
      </w:r>
      <w:r w:rsidRPr="00F50B51">
        <w:rPr>
          <w:rFonts w:ascii="宋体" w:eastAsia="宋体" w:hAnsi="宋体" w:cs="宋体"/>
          <w:b/>
          <w:bCs/>
          <w:sz w:val="18"/>
          <w:szCs w:val="18"/>
        </w:rPr>
        <w:t>6</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其他说明</w:t>
      </w:r>
      <w:bookmarkEnd w:id="377"/>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78" w:name="_Toc989266"/>
      <w:r w:rsidRPr="00F50B51">
        <w:rPr>
          <w:rFonts w:ascii="宋体" w:hAnsi="宋体" w:cs="宋体"/>
          <w:b/>
          <w:bCs/>
        </w:rPr>
        <w:t>2</w:t>
      </w:r>
      <w:r w:rsidRPr="00F50B51">
        <w:rPr>
          <w:rFonts w:ascii="宋体" w:hAnsi="宋体" w:cs="宋体"/>
          <w:b/>
          <w:bCs/>
        </w:rPr>
        <w:t>、同一控制下企业合并</w:t>
      </w:r>
      <w:bookmarkEnd w:id="378"/>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79" w:name="_Toc989267"/>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本期发生的同一控制下企业合并</w:t>
      </w:r>
      <w:bookmarkEnd w:id="37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被合并方名称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企业合并中取得的权益比例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构成同一控制下企业合并的依据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合并日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合并日的确定依据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合并当期期初至合并日被合并方的收入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合并当期期初至合并日被合并方的净利润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比较期间被合并方的收入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比较期间被合并方的净利润</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80" w:name="_Toc989268"/>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合并成本</w:t>
      </w:r>
      <w:bookmarkEnd w:id="38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合并成本</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现金</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非现金资产的账面价值</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发行或承担的债务的账面价值</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发行的权益性证券的面值</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或有对价</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或有对价及其变动的说明：</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81" w:name="_Toc989269"/>
      <w:r w:rsidRPr="00F50B51">
        <w:rPr>
          <w:rFonts w:ascii="宋体" w:eastAsia="宋体" w:hAnsi="宋体" w:cs="宋体"/>
          <w:b/>
          <w:bCs/>
          <w:sz w:val="18"/>
          <w:szCs w:val="18"/>
        </w:rPr>
        <w:t>（</w:t>
      </w:r>
      <w:r w:rsidRPr="00F50B51">
        <w:rPr>
          <w:rFonts w:ascii="宋体" w:eastAsia="宋体" w:hAnsi="宋体" w:cs="宋体"/>
          <w:b/>
          <w:bCs/>
          <w:sz w:val="18"/>
          <w:szCs w:val="18"/>
        </w:rPr>
        <w:t>3</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合并日被合并方资产、负债的账面价值</w:t>
      </w:r>
      <w:bookmarkEnd w:id="38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6426" w:type="dxa"/>
            <w:gridSpan w:val="2"/>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这是文本内容</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合并日</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上期期末</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应收款项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应付款项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净资产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减：少数股东权益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取得的净资产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企业合并中承担的被合并方的或有负债：</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82" w:name="_Toc989270"/>
      <w:r w:rsidRPr="00F50B51">
        <w:rPr>
          <w:rFonts w:ascii="宋体" w:hAnsi="宋体" w:cs="宋体"/>
          <w:b/>
          <w:bCs/>
        </w:rPr>
        <w:t>3</w:t>
      </w:r>
      <w:r w:rsidRPr="00F50B51">
        <w:rPr>
          <w:rFonts w:ascii="宋体" w:hAnsi="宋体" w:cs="宋体"/>
          <w:b/>
          <w:bCs/>
        </w:rPr>
        <w:t>、反向购买</w:t>
      </w:r>
      <w:bookmarkEnd w:id="382"/>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交易基本信息、交易构成反向购买的依据、上市公司保留的资产、负债是否构成业务及其依据、合并成本的确定、按照权益性交易处理时调整权益的金额及其计算：</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83" w:name="_Toc989271"/>
      <w:r w:rsidRPr="00F50B51">
        <w:rPr>
          <w:rFonts w:ascii="宋体" w:hAnsi="宋体" w:cs="宋体"/>
          <w:b/>
          <w:bCs/>
        </w:rPr>
        <w:t>4</w:t>
      </w:r>
      <w:r w:rsidRPr="00F50B51">
        <w:rPr>
          <w:rFonts w:ascii="宋体" w:hAnsi="宋体" w:cs="宋体"/>
          <w:b/>
          <w:bCs/>
        </w:rPr>
        <w:t>、处置子公司</w:t>
      </w:r>
      <w:bookmarkEnd w:id="383"/>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是否存在单次处置对子公司投资即丧失控制权的情形</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是</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否</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是否存在通过多次交易分步处置对子公司投资且在本期丧失控制权的情形</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是</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否</w:t>
      </w:r>
    </w:p>
    <w:p w:rsidR="0058782B" w:rsidRPr="00F50B51" w:rsidRDefault="00F80EE7">
      <w:pPr>
        <w:pStyle w:val="3"/>
        <w:spacing w:line="280" w:lineRule="exact"/>
        <w:jc w:val="left"/>
        <w:rPr>
          <w:rFonts w:ascii="宋体" w:hAnsi="宋体" w:cs="宋体"/>
          <w:b/>
          <w:bCs/>
        </w:rPr>
      </w:pPr>
      <w:bookmarkStart w:id="384" w:name="_Toc989272"/>
      <w:r w:rsidRPr="00F50B51">
        <w:rPr>
          <w:rFonts w:ascii="宋体" w:hAnsi="宋体" w:cs="宋体"/>
          <w:b/>
          <w:bCs/>
        </w:rPr>
        <w:t>5</w:t>
      </w:r>
      <w:r w:rsidRPr="00F50B51">
        <w:rPr>
          <w:rFonts w:ascii="宋体" w:hAnsi="宋体" w:cs="宋体"/>
          <w:b/>
          <w:bCs/>
        </w:rPr>
        <w:t>、其他原因的合并范围变动</w:t>
      </w:r>
      <w:bookmarkEnd w:id="384"/>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说明其他原因导致的合并范围变动（如，新设子公司、清算子公司等）及其相关情况：</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85" w:name="_Toc989273"/>
      <w:r w:rsidRPr="00F50B51">
        <w:rPr>
          <w:rFonts w:ascii="宋体" w:hAnsi="宋体" w:cs="宋体"/>
          <w:b/>
          <w:bCs/>
        </w:rPr>
        <w:t>6</w:t>
      </w:r>
      <w:r w:rsidRPr="00F50B51">
        <w:rPr>
          <w:rFonts w:ascii="宋体" w:hAnsi="宋体" w:cs="宋体"/>
          <w:b/>
          <w:bCs/>
        </w:rPr>
        <w:t>、其他</w:t>
      </w:r>
      <w:bookmarkEnd w:id="385"/>
    </w:p>
    <w:p w:rsidR="0058782B" w:rsidRPr="00F50B51" w:rsidRDefault="0058782B">
      <w:pPr>
        <w:rPr>
          <w:sz w:val="18"/>
          <w:szCs w:val="18"/>
        </w:rPr>
      </w:pPr>
    </w:p>
    <w:p w:rsidR="0058782B" w:rsidRPr="00F50B51" w:rsidRDefault="00F80EE7">
      <w:pPr>
        <w:pStyle w:val="2"/>
        <w:spacing w:before="300" w:after="300" w:line="320" w:lineRule="exact"/>
        <w:rPr>
          <w:rFonts w:ascii="宋体" w:eastAsia="宋体" w:hAnsi="宋体" w:cs="宋体"/>
          <w:b/>
          <w:bCs/>
          <w:sz w:val="24"/>
          <w:szCs w:val="24"/>
        </w:rPr>
      </w:pPr>
      <w:bookmarkStart w:id="386" w:name="_Toc989274"/>
      <w:r w:rsidRPr="00F50B51">
        <w:rPr>
          <w:rFonts w:ascii="宋体" w:eastAsia="宋体" w:hAnsi="宋体" w:cs="宋体"/>
          <w:b/>
          <w:bCs/>
          <w:sz w:val="24"/>
          <w:szCs w:val="24"/>
        </w:rPr>
        <w:t>九、在其他主体中的权益</w:t>
      </w:r>
      <w:bookmarkEnd w:id="386"/>
    </w:p>
    <w:p w:rsidR="0058782B" w:rsidRPr="00F50B51" w:rsidRDefault="00F80EE7">
      <w:pPr>
        <w:pStyle w:val="3"/>
        <w:spacing w:line="280" w:lineRule="exact"/>
        <w:jc w:val="left"/>
        <w:rPr>
          <w:rFonts w:ascii="宋体" w:hAnsi="宋体" w:cs="宋体"/>
          <w:b/>
          <w:bCs/>
        </w:rPr>
      </w:pPr>
      <w:bookmarkStart w:id="387" w:name="_Toc989275"/>
      <w:r w:rsidRPr="00F50B51">
        <w:rPr>
          <w:rFonts w:ascii="宋体" w:hAnsi="宋体" w:cs="宋体"/>
          <w:b/>
          <w:bCs/>
        </w:rPr>
        <w:t>1</w:t>
      </w:r>
      <w:r w:rsidRPr="00F50B51">
        <w:rPr>
          <w:rFonts w:ascii="宋体" w:hAnsi="宋体" w:cs="宋体"/>
          <w:b/>
          <w:bCs/>
        </w:rPr>
        <w:t>、在子公司中的权益</w:t>
      </w:r>
      <w:bookmarkEnd w:id="387"/>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88" w:name="_Toc989276"/>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企业集团的构成</w:t>
      </w:r>
      <w:bookmarkEnd w:id="388"/>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子公司名称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主要经营地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注册地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业务性质</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持股比例</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取得方式</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直接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间接</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广东翔鹭精密制造有限公司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东莞</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潮州</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科学研究和技术服务业</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投资设立</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东莞市翔鹭精密工具有限公司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东莞</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东莞</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批发和零售业</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非同一控制下的企业合并</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江西翔鹭精密制造有限公司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制造业</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投资设立</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制造业</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非同一控制下的企业合并</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大余隆鑫泰金属材料有限公司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制造业</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非同一控制下的企业合并</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大余隆鑫泰矿业有限公司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采矿业</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非同一控制下的企业合并</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大余县新城海德材料有限公司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制造业</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非同一控制下的企业合并</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在子公司的持股比例不同于表决权比例的说明：</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持有半数或以下表决权但仍控制被投资单位、以及持有半数以上表决权但不控制被投资单位的依据：</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对于纳入合并范围的重要的结构化主体，控制的依据：</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确定公司是代理人还是委托人的依据：</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89" w:name="_Toc989277"/>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重要的非全资子公司</w:t>
      </w:r>
      <w:bookmarkEnd w:id="38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子公司名称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少数股东持股比例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本期归属于少数股东的损益</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本期向少数股东宣告分派的股利</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期末少数股东权益余额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子公司少数股东的持股比例不同于表决权比例的说明：</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90" w:name="_Toc989278"/>
      <w:r w:rsidRPr="00F50B51">
        <w:rPr>
          <w:rFonts w:ascii="宋体" w:eastAsia="宋体" w:hAnsi="宋体" w:cs="宋体"/>
          <w:b/>
          <w:bCs/>
          <w:sz w:val="18"/>
          <w:szCs w:val="18"/>
        </w:rPr>
        <w:t>（</w:t>
      </w:r>
      <w:r w:rsidRPr="00F50B51">
        <w:rPr>
          <w:rFonts w:ascii="宋体" w:eastAsia="宋体" w:hAnsi="宋体" w:cs="宋体"/>
          <w:b/>
          <w:bCs/>
          <w:sz w:val="18"/>
          <w:szCs w:val="18"/>
        </w:rPr>
        <w:t>3</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重要非全资子公司的主要财务信息</w:t>
      </w:r>
      <w:bookmarkEnd w:id="39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41"/>
        <w:gridCol w:w="741"/>
        <w:gridCol w:w="741"/>
        <w:gridCol w:w="741"/>
        <w:gridCol w:w="741"/>
        <w:gridCol w:w="741"/>
        <w:gridCol w:w="744"/>
        <w:gridCol w:w="741"/>
        <w:gridCol w:w="741"/>
        <w:gridCol w:w="741"/>
        <w:gridCol w:w="741"/>
        <w:gridCol w:w="741"/>
        <w:gridCol w:w="744"/>
      </w:tblGrid>
      <w:tr w:rsidR="0058782B" w:rsidRPr="00F50B51">
        <w:trPr>
          <w:trHeight w:val="240"/>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子公司名称</w:t>
            </w:r>
          </w:p>
        </w:tc>
        <w:tc>
          <w:tcPr>
            <w:tcW w:w="444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44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非流动资产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资产合计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非流动负债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负债合计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非流动资产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资产合计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非流动负债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负债合计</w:t>
            </w:r>
          </w:p>
        </w:tc>
      </w:tr>
    </w:tbl>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1"/>
        <w:gridCol w:w="1071"/>
        <w:gridCol w:w="1071"/>
        <w:gridCol w:w="1071"/>
        <w:gridCol w:w="1071"/>
        <w:gridCol w:w="1071"/>
        <w:gridCol w:w="1071"/>
        <w:gridCol w:w="1071"/>
        <w:gridCol w:w="1071"/>
      </w:tblGrid>
      <w:tr w:rsidR="0058782B" w:rsidRPr="00F50B51">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子公司名称</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净利润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综合收益总额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经营活动现金流量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净利润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综合收益总额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经营活动现金流量</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91" w:name="_Toc989279"/>
      <w:r w:rsidRPr="00F50B51">
        <w:rPr>
          <w:rFonts w:ascii="宋体" w:eastAsia="宋体" w:hAnsi="宋体" w:cs="宋体"/>
          <w:b/>
          <w:bCs/>
          <w:sz w:val="18"/>
          <w:szCs w:val="18"/>
        </w:rPr>
        <w:t>（</w:t>
      </w:r>
      <w:r w:rsidRPr="00F50B51">
        <w:rPr>
          <w:rFonts w:ascii="宋体" w:eastAsia="宋体" w:hAnsi="宋体" w:cs="宋体"/>
          <w:b/>
          <w:bCs/>
          <w:sz w:val="18"/>
          <w:szCs w:val="18"/>
        </w:rPr>
        <w:t>4</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使用企业集团资产和清偿企业集团债务的重大限制</w:t>
      </w:r>
      <w:bookmarkEnd w:id="391"/>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92" w:name="_Toc989280"/>
      <w:r w:rsidRPr="00F50B51">
        <w:rPr>
          <w:rFonts w:ascii="宋体" w:eastAsia="宋体" w:hAnsi="宋体" w:cs="宋体"/>
          <w:b/>
          <w:bCs/>
          <w:sz w:val="18"/>
          <w:szCs w:val="18"/>
        </w:rPr>
        <w:t>（</w:t>
      </w:r>
      <w:r w:rsidRPr="00F50B51">
        <w:rPr>
          <w:rFonts w:ascii="宋体" w:eastAsia="宋体" w:hAnsi="宋体" w:cs="宋体"/>
          <w:b/>
          <w:bCs/>
          <w:sz w:val="18"/>
          <w:szCs w:val="18"/>
        </w:rPr>
        <w:t>5</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向纳入合并财务报表范围的结构化主体提供的财务支持或其他支持</w:t>
      </w:r>
      <w:bookmarkEnd w:id="392"/>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93" w:name="_Toc989281"/>
      <w:r w:rsidRPr="00F50B51">
        <w:rPr>
          <w:rFonts w:ascii="宋体" w:hAnsi="宋体" w:cs="宋体"/>
          <w:b/>
          <w:bCs/>
        </w:rPr>
        <w:t>2</w:t>
      </w:r>
      <w:r w:rsidRPr="00F50B51">
        <w:rPr>
          <w:rFonts w:ascii="宋体" w:hAnsi="宋体" w:cs="宋体"/>
          <w:b/>
          <w:bCs/>
        </w:rPr>
        <w:t>、在子公司的所有者权益份额发生变化且仍控制子公司的交易</w:t>
      </w:r>
      <w:bookmarkEnd w:id="393"/>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94" w:name="_Toc989282"/>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在子公司所有者权益份额发生变化的情况说明</w:t>
      </w:r>
      <w:bookmarkEnd w:id="394"/>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395" w:name="_Toc989283"/>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交易对于少数股东权益及归属于母公司所有者权益的影响</w:t>
      </w:r>
      <w:bookmarkEnd w:id="39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购买成本</w:t>
            </w:r>
            <w:r w:rsidRPr="00F50B51">
              <w:rPr>
                <w:rFonts w:ascii="宋体" w:eastAsia="宋体" w:hAnsi="宋体" w:cs="宋体"/>
                <w:sz w:val="18"/>
                <w:szCs w:val="18"/>
              </w:rPr>
              <w:t>/</w:t>
            </w:r>
            <w:r w:rsidRPr="00F50B51">
              <w:rPr>
                <w:rFonts w:ascii="宋体" w:eastAsia="宋体" w:hAnsi="宋体" w:cs="宋体"/>
                <w:sz w:val="18"/>
                <w:szCs w:val="18"/>
              </w:rPr>
              <w:t>处置对价</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现金</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非现金资产的公允价值</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购买成本</w:t>
            </w:r>
            <w:r w:rsidRPr="00F50B51">
              <w:rPr>
                <w:rFonts w:ascii="宋体" w:eastAsia="宋体" w:hAnsi="宋体" w:cs="宋体"/>
                <w:sz w:val="18"/>
                <w:szCs w:val="18"/>
              </w:rPr>
              <w:t>/</w:t>
            </w:r>
            <w:r w:rsidRPr="00F50B51">
              <w:rPr>
                <w:rFonts w:ascii="宋体" w:eastAsia="宋体" w:hAnsi="宋体" w:cs="宋体"/>
                <w:sz w:val="18"/>
                <w:szCs w:val="18"/>
              </w:rPr>
              <w:t>处置对价合计</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减：按取得</w:t>
            </w:r>
            <w:r w:rsidRPr="00F50B51">
              <w:rPr>
                <w:rFonts w:ascii="宋体" w:eastAsia="宋体" w:hAnsi="宋体" w:cs="宋体"/>
                <w:sz w:val="18"/>
                <w:szCs w:val="18"/>
              </w:rPr>
              <w:t>/</w:t>
            </w:r>
            <w:r w:rsidRPr="00F50B51">
              <w:rPr>
                <w:rFonts w:ascii="宋体" w:eastAsia="宋体" w:hAnsi="宋体" w:cs="宋体"/>
                <w:sz w:val="18"/>
                <w:szCs w:val="18"/>
              </w:rPr>
              <w:t>处置的股权比例计算的子公司净资产份额</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差额</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其中：调整资本公积</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调整盈余公积</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300" w:firstLine="540"/>
              <w:rPr>
                <w:rFonts w:ascii="宋体" w:eastAsia="宋体" w:hAnsi="宋体" w:cs="宋体"/>
                <w:sz w:val="18"/>
                <w:szCs w:val="18"/>
              </w:rPr>
            </w:pPr>
            <w:r w:rsidRPr="00F50B51">
              <w:rPr>
                <w:rFonts w:ascii="宋体" w:eastAsia="宋体" w:hAnsi="宋体" w:cs="宋体"/>
                <w:sz w:val="18"/>
                <w:szCs w:val="18"/>
              </w:rPr>
              <w:t>调整未分配利润</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396" w:name="_Toc989284"/>
      <w:r w:rsidRPr="00F50B51">
        <w:rPr>
          <w:rFonts w:ascii="宋体" w:hAnsi="宋体" w:cs="宋体"/>
          <w:b/>
          <w:bCs/>
        </w:rPr>
        <w:t>3</w:t>
      </w:r>
      <w:r w:rsidRPr="00F50B51">
        <w:rPr>
          <w:rFonts w:ascii="宋体" w:hAnsi="宋体" w:cs="宋体"/>
          <w:b/>
          <w:bCs/>
        </w:rPr>
        <w:t>、在合营安排或联营企业中的权益</w:t>
      </w:r>
      <w:bookmarkEnd w:id="396"/>
    </w:p>
    <w:p w:rsidR="0058782B" w:rsidRPr="00F50B51" w:rsidRDefault="00F80EE7">
      <w:pPr>
        <w:keepNext/>
        <w:keepLines/>
        <w:spacing w:before="300" w:after="300" w:line="280" w:lineRule="exact"/>
        <w:outlineLvl w:val="3"/>
        <w:rPr>
          <w:rFonts w:ascii="宋体" w:eastAsia="宋体" w:hAnsi="宋体" w:cs="宋体"/>
          <w:b/>
          <w:bCs/>
          <w:szCs w:val="21"/>
        </w:rPr>
      </w:pPr>
      <w:bookmarkStart w:id="397" w:name="_Toc989285"/>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重要的合营企业或联营企业</w:t>
      </w:r>
      <w:bookmarkEnd w:id="397"/>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合营企业或联营企业名称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主要经营地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注册地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业务性质</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持股比例</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对合营企业或联营企业投资的会计处理方法</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直接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间接</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在合营企业或联营企业的持股比例不同于表决权比例的说明：</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持有</w:t>
      </w:r>
      <w:r w:rsidRPr="00F50B51">
        <w:rPr>
          <w:rFonts w:ascii="宋体" w:eastAsia="宋体" w:hAnsi="宋体" w:cs="宋体"/>
          <w:sz w:val="18"/>
          <w:szCs w:val="18"/>
        </w:rPr>
        <w:t>20%</w:t>
      </w:r>
      <w:r w:rsidRPr="00F50B51">
        <w:rPr>
          <w:rFonts w:ascii="宋体" w:eastAsia="宋体" w:hAnsi="宋体" w:cs="宋体"/>
          <w:sz w:val="18"/>
          <w:szCs w:val="18"/>
        </w:rPr>
        <w:t>以下表决权但具有重大影响，或者持有</w:t>
      </w:r>
      <w:r w:rsidRPr="00F50B51">
        <w:rPr>
          <w:rFonts w:ascii="宋体" w:eastAsia="宋体" w:hAnsi="宋体" w:cs="宋体"/>
          <w:sz w:val="18"/>
          <w:szCs w:val="18"/>
        </w:rPr>
        <w:t>20%</w:t>
      </w:r>
      <w:r w:rsidRPr="00F50B51">
        <w:rPr>
          <w:rFonts w:ascii="宋体" w:eastAsia="宋体" w:hAnsi="宋体" w:cs="宋体"/>
          <w:sz w:val="18"/>
          <w:szCs w:val="18"/>
        </w:rPr>
        <w:t>或以上表决权但不具有重大影响的依据：</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398" w:name="_Toc989286"/>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重要合营企业的主要财务信息</w:t>
      </w:r>
      <w:bookmarkEnd w:id="398"/>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r w:rsidRPr="00F50B51">
              <w:rPr>
                <w:rFonts w:ascii="宋体" w:eastAsia="宋体" w:hAnsi="宋体" w:cs="宋体"/>
                <w:sz w:val="18"/>
                <w:szCs w:val="18"/>
              </w:rPr>
              <w:t>/</w:t>
            </w: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r w:rsidRPr="00F50B51">
              <w:rPr>
                <w:rFonts w:ascii="宋体" w:eastAsia="宋体" w:hAnsi="宋体" w:cs="宋体"/>
                <w:sz w:val="18"/>
                <w:szCs w:val="18"/>
              </w:rPr>
              <w:t>/</w:t>
            </w:r>
            <w:r w:rsidRPr="00F50B51">
              <w:rPr>
                <w:rFonts w:ascii="宋体" w:eastAsia="宋体" w:hAnsi="宋体" w:cs="宋体"/>
                <w:sz w:val="18"/>
                <w:szCs w:val="18"/>
              </w:rPr>
              <w:t>上期发生额</w:t>
            </w:r>
          </w:p>
        </w:tc>
      </w:tr>
      <w:tr w:rsidR="0058782B" w:rsidRPr="00F50B51">
        <w:trPr>
          <w:trHeight w:val="240"/>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其中：现金和现金等价物</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少数股东权益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归属于母公司股东权益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按持股比例计算的净资产份额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调整事项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内部交易未实现利润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对合营企业权益投资的账面价值</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存在公开报价的合营企业权益投资的公允价值</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营业收入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财务费用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所得税费用</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净利润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终止经营的净利润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本年度收到的来自合营企业的股利</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399" w:name="_Toc989287"/>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重要联营企业的主要财务信息</w:t>
      </w:r>
      <w:bookmarkEnd w:id="39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r w:rsidRPr="00F50B51">
              <w:rPr>
                <w:rFonts w:ascii="宋体" w:eastAsia="宋体" w:hAnsi="宋体" w:cs="宋体"/>
                <w:sz w:val="18"/>
                <w:szCs w:val="18"/>
              </w:rPr>
              <w:t>/</w:t>
            </w: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r w:rsidRPr="00F50B51">
              <w:rPr>
                <w:rFonts w:ascii="宋体" w:eastAsia="宋体" w:hAnsi="宋体" w:cs="宋体"/>
                <w:sz w:val="18"/>
                <w:szCs w:val="18"/>
              </w:rPr>
              <w:t>/</w:t>
            </w:r>
            <w:r w:rsidRPr="00F50B51">
              <w:rPr>
                <w:rFonts w:ascii="宋体" w:eastAsia="宋体" w:hAnsi="宋体" w:cs="宋体"/>
                <w:sz w:val="18"/>
                <w:szCs w:val="18"/>
              </w:rPr>
              <w:t>上期发生额</w:t>
            </w:r>
          </w:p>
        </w:tc>
      </w:tr>
      <w:tr w:rsidR="0058782B" w:rsidRPr="00F50B51">
        <w:trPr>
          <w:trHeight w:val="240"/>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少数股东权益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归属于母公司股东权益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按持股比例计算的净资产份额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调整事项</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内部交易未实现利润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对联营企业权益投资的账面价值</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存在公开报价的联营企业权益投资的公允价值</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营业收入</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净利润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终止经营的净利润</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本年度收到的来自联营企业的股利</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00" w:name="_Toc989288"/>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不重要的合营企业和联营企业的汇总财务信息</w:t>
      </w:r>
      <w:bookmarkEnd w:id="40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r w:rsidRPr="00F50B51">
              <w:rPr>
                <w:rFonts w:ascii="宋体" w:eastAsia="宋体" w:hAnsi="宋体" w:cs="宋体"/>
                <w:sz w:val="18"/>
                <w:szCs w:val="18"/>
              </w:rPr>
              <w:t>/</w:t>
            </w: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r w:rsidRPr="00F50B51">
              <w:rPr>
                <w:rFonts w:ascii="宋体" w:eastAsia="宋体" w:hAnsi="宋体" w:cs="宋体"/>
                <w:sz w:val="18"/>
                <w:szCs w:val="18"/>
              </w:rPr>
              <w:t>/</w:t>
            </w: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合营企业：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下列各项按持股比例计算的合计数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联营企业：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下列各项按持股比例计算的合计数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01" w:name="_Toc989289"/>
      <w:r w:rsidRPr="00F50B51">
        <w:rPr>
          <w:rFonts w:ascii="宋体" w:eastAsia="宋体" w:hAnsi="宋体" w:cs="宋体"/>
          <w:b/>
          <w:bCs/>
          <w:szCs w:val="21"/>
        </w:rPr>
        <w:t>（</w:t>
      </w:r>
      <w:r w:rsidRPr="00F50B51">
        <w:rPr>
          <w:rFonts w:ascii="宋体" w:eastAsia="宋体" w:hAnsi="宋体" w:cs="宋体"/>
          <w:b/>
          <w:bCs/>
          <w:szCs w:val="21"/>
        </w:rPr>
        <w:t>5</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合营企业或联营企业向本公司转移资金的能力存在重大限制的说明</w:t>
      </w:r>
      <w:bookmarkEnd w:id="401"/>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02" w:name="_Toc989290"/>
      <w:r w:rsidRPr="00F50B51">
        <w:rPr>
          <w:rFonts w:ascii="宋体" w:eastAsia="宋体" w:hAnsi="宋体" w:cs="宋体"/>
          <w:b/>
          <w:bCs/>
          <w:szCs w:val="21"/>
        </w:rPr>
        <w:t>（</w:t>
      </w:r>
      <w:r w:rsidRPr="00F50B51">
        <w:rPr>
          <w:rFonts w:ascii="宋体" w:eastAsia="宋体" w:hAnsi="宋体" w:cs="宋体"/>
          <w:b/>
          <w:bCs/>
          <w:szCs w:val="21"/>
        </w:rPr>
        <w:t>6</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合营企业或联营企业发生的超额亏损</w:t>
      </w:r>
      <w:bookmarkEnd w:id="40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合营企业或联营企业名称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累积未确认前期累计的损失</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本期未确认的损失（或本期分享的净利润）</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本期末累积未确认的损失</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03" w:name="_Toc989291"/>
      <w:r w:rsidRPr="00F50B51">
        <w:rPr>
          <w:rFonts w:ascii="宋体" w:eastAsia="宋体" w:hAnsi="宋体" w:cs="宋体"/>
          <w:b/>
          <w:bCs/>
          <w:szCs w:val="21"/>
        </w:rPr>
        <w:t>（</w:t>
      </w:r>
      <w:r w:rsidRPr="00F50B51">
        <w:rPr>
          <w:rFonts w:ascii="宋体" w:eastAsia="宋体" w:hAnsi="宋体" w:cs="宋体"/>
          <w:b/>
          <w:bCs/>
          <w:szCs w:val="21"/>
        </w:rPr>
        <w:t>7</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与合营企业投资相关的未确认承诺</w:t>
      </w:r>
      <w:bookmarkEnd w:id="403"/>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04" w:name="_Toc989292"/>
      <w:r w:rsidRPr="00F50B51">
        <w:rPr>
          <w:rFonts w:ascii="宋体" w:eastAsia="宋体" w:hAnsi="宋体" w:cs="宋体"/>
          <w:b/>
          <w:bCs/>
          <w:szCs w:val="21"/>
        </w:rPr>
        <w:t>（</w:t>
      </w:r>
      <w:r w:rsidRPr="00F50B51">
        <w:rPr>
          <w:rFonts w:ascii="宋体" w:eastAsia="宋体" w:hAnsi="宋体" w:cs="宋体"/>
          <w:b/>
          <w:bCs/>
          <w:szCs w:val="21"/>
        </w:rPr>
        <w:t>8</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与合营企业或联营企业投资相关的或有负债</w:t>
      </w:r>
      <w:bookmarkEnd w:id="404"/>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05" w:name="_Toc989293"/>
      <w:r w:rsidRPr="00F50B51">
        <w:rPr>
          <w:rFonts w:ascii="宋体" w:hAnsi="宋体" w:cs="宋体"/>
          <w:b/>
          <w:bCs/>
        </w:rPr>
        <w:t>4</w:t>
      </w:r>
      <w:r w:rsidRPr="00F50B51">
        <w:rPr>
          <w:rFonts w:ascii="宋体" w:hAnsi="宋体" w:cs="宋体"/>
          <w:b/>
          <w:bCs/>
        </w:rPr>
        <w:t>、重要的共同经营</w:t>
      </w:r>
      <w:bookmarkEnd w:id="405"/>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7"/>
        <w:gridCol w:w="1607"/>
        <w:gridCol w:w="1606"/>
        <w:gridCol w:w="1606"/>
        <w:gridCol w:w="1606"/>
        <w:gridCol w:w="1607"/>
      </w:tblGrid>
      <w:tr w:rsidR="0058782B" w:rsidRPr="00F50B51">
        <w:trPr>
          <w:trHeight w:val="240"/>
        </w:trPr>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共同经营名称</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主要经营地</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注册地</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业务性质</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持股比例</w:t>
            </w:r>
            <w:r w:rsidRPr="00F50B51">
              <w:rPr>
                <w:rFonts w:ascii="宋体" w:eastAsia="宋体" w:hAnsi="宋体" w:cs="宋体"/>
                <w:sz w:val="18"/>
                <w:szCs w:val="18"/>
              </w:rPr>
              <w:t>/</w:t>
            </w:r>
            <w:r w:rsidRPr="00F50B51">
              <w:rPr>
                <w:rFonts w:ascii="宋体" w:eastAsia="宋体" w:hAnsi="宋体" w:cs="宋体"/>
                <w:sz w:val="18"/>
                <w:szCs w:val="18"/>
              </w:rPr>
              <w:t>享有的份额</w:t>
            </w:r>
          </w:p>
        </w:tc>
      </w:tr>
      <w:tr w:rsidR="0058782B" w:rsidRPr="00F50B51">
        <w:trPr>
          <w:trHeight w:val="240"/>
        </w:trPr>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直接</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间接</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在共同经营中的持股比例或享有的份额不同于表决权比例的说明：</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共同经营为单独主体的，分类为共同经营的依据：</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06" w:name="_Toc989294"/>
      <w:r w:rsidRPr="00F50B51">
        <w:rPr>
          <w:rFonts w:ascii="宋体" w:hAnsi="宋体" w:cs="宋体"/>
          <w:b/>
          <w:bCs/>
        </w:rPr>
        <w:t>5</w:t>
      </w:r>
      <w:r w:rsidRPr="00F50B51">
        <w:rPr>
          <w:rFonts w:ascii="宋体" w:hAnsi="宋体" w:cs="宋体"/>
          <w:b/>
          <w:bCs/>
        </w:rPr>
        <w:t>、在未纳入合并财务报表范围的结构化主体中的权益</w:t>
      </w:r>
      <w:bookmarkEnd w:id="406"/>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未纳入合并财务报表范围的结构化主体的相关说明：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07" w:name="_Toc989295"/>
      <w:r w:rsidRPr="00F50B51">
        <w:rPr>
          <w:rFonts w:ascii="宋体" w:hAnsi="宋体" w:cs="宋体"/>
          <w:b/>
          <w:bCs/>
        </w:rPr>
        <w:t>6</w:t>
      </w:r>
      <w:r w:rsidRPr="00F50B51">
        <w:rPr>
          <w:rFonts w:ascii="宋体" w:hAnsi="宋体" w:cs="宋体"/>
          <w:b/>
          <w:bCs/>
        </w:rPr>
        <w:t>、其他</w:t>
      </w:r>
      <w:bookmarkEnd w:id="407"/>
    </w:p>
    <w:p w:rsidR="0058782B" w:rsidRPr="00F50B51" w:rsidRDefault="0058782B">
      <w:pPr>
        <w:rPr>
          <w:sz w:val="18"/>
          <w:szCs w:val="18"/>
        </w:rPr>
      </w:pPr>
    </w:p>
    <w:p w:rsidR="0058782B" w:rsidRPr="00F50B51" w:rsidRDefault="00F80EE7">
      <w:pPr>
        <w:pStyle w:val="2"/>
        <w:spacing w:before="300" w:after="300" w:line="320" w:lineRule="exact"/>
        <w:rPr>
          <w:rFonts w:ascii="宋体" w:eastAsia="宋体" w:hAnsi="宋体" w:cs="宋体"/>
          <w:b/>
          <w:bCs/>
          <w:sz w:val="24"/>
          <w:szCs w:val="24"/>
        </w:rPr>
      </w:pPr>
      <w:bookmarkStart w:id="408" w:name="_Toc989296"/>
      <w:r w:rsidRPr="00F50B51">
        <w:rPr>
          <w:rFonts w:ascii="宋体" w:eastAsia="宋体" w:hAnsi="宋体" w:cs="宋体"/>
          <w:b/>
          <w:bCs/>
          <w:sz w:val="24"/>
          <w:szCs w:val="24"/>
        </w:rPr>
        <w:t>十、与金融工具相关的风险</w:t>
      </w:r>
      <w:bookmarkEnd w:id="408"/>
    </w:p>
    <w:p w:rsidR="0058782B" w:rsidRPr="00F50B51" w:rsidRDefault="00F80EE7">
      <w:pPr>
        <w:pStyle w:val="a7"/>
        <w:spacing w:before="120" w:beforeAutospacing="0" w:after="0" w:afterAutospacing="0" w:line="420" w:lineRule="atLeast"/>
        <w:ind w:firstLine="420"/>
        <w:jc w:val="both"/>
        <w:rPr>
          <w:rFonts w:ascii="Times New Roman" w:hAnsi="Times New Roman" w:cs="Times New Roman"/>
          <w:sz w:val="21"/>
          <w:szCs w:val="21"/>
        </w:rPr>
      </w:pPr>
      <w:r w:rsidRPr="00F50B51">
        <w:rPr>
          <w:rFonts w:cs="Times New Roman" w:hint="eastAsia"/>
          <w:sz w:val="21"/>
          <w:szCs w:val="21"/>
        </w:rPr>
        <w:t>公司的主要金融工具包括应收账款、应收票据、其他应收款、应付票据、应付账款、短期借款、长期借款等，各项金融工具的详细情况说明见本附注五相关项目。公司在经营过程中面临各种金融风险：信用风险、市场风险和流动性风险。公司经营管理层全面负责风险管理目标和政策的确定，并对风险管理目标和政策承担最终责任。公司风险管理的总体目标是在不过度影响公司竞争力和应变力的情况下，制定尽可能降低风险的风险管理政策。</w:t>
      </w:r>
    </w:p>
    <w:p w:rsidR="0058782B" w:rsidRPr="00F50B51" w:rsidRDefault="00F80EE7">
      <w:pPr>
        <w:pStyle w:val="15"/>
        <w:rPr>
          <w:sz w:val="18"/>
          <w:szCs w:val="18"/>
        </w:rPr>
      </w:pPr>
      <w:r w:rsidRPr="00F50B51">
        <w:rPr>
          <w:rStyle w:val="a9"/>
          <w:rFonts w:ascii="Times New Roman" w:hAnsi="Times New Roman" w:cs="Times New Roman"/>
          <w:color w:val="000000"/>
          <w:sz w:val="21"/>
          <w:szCs w:val="21"/>
        </w:rPr>
        <w:t>1</w:t>
      </w:r>
      <w:r w:rsidRPr="00F50B51">
        <w:rPr>
          <w:rStyle w:val="a9"/>
          <w:rFonts w:ascii="黑体" w:eastAsia="黑体" w:hAnsi="黑体" w:cs="Times New Roman" w:hint="eastAsia"/>
          <w:color w:val="000000"/>
          <w:sz w:val="21"/>
          <w:szCs w:val="21"/>
        </w:rPr>
        <w:t>、信用风险</w:t>
      </w:r>
    </w:p>
    <w:p w:rsidR="0058782B" w:rsidRPr="00F50B51" w:rsidRDefault="00F80EE7">
      <w:pPr>
        <w:pStyle w:val="a7"/>
        <w:spacing w:before="120" w:beforeAutospacing="0" w:after="0" w:afterAutospacing="0" w:line="420" w:lineRule="atLeast"/>
        <w:ind w:firstLine="420"/>
        <w:jc w:val="both"/>
        <w:rPr>
          <w:rFonts w:ascii="Times New Roman" w:hAnsi="Times New Roman" w:cs="Times New Roman"/>
          <w:sz w:val="21"/>
          <w:szCs w:val="21"/>
        </w:rPr>
      </w:pPr>
      <w:r w:rsidRPr="00F50B51">
        <w:rPr>
          <w:rFonts w:cs="Times New Roman" w:hint="eastAsia"/>
          <w:sz w:val="21"/>
          <w:szCs w:val="21"/>
        </w:rPr>
        <w:t>信用风险是指金融工具的一方不履行义务，造成另一方发生财务损失的风险。公司主要面临赊销导致的客户信用风险。在</w:t>
      </w:r>
      <w:r w:rsidRPr="00F50B51">
        <w:rPr>
          <w:rFonts w:cs="Times New Roman" w:hint="eastAsia"/>
          <w:sz w:val="21"/>
          <w:szCs w:val="21"/>
        </w:rPr>
        <w:t>签订新合同之前，本公司会对新客户的信用风险进行评估，包括外部信用评级和在某些情况下的银行资信证明（当此信息可获取时）。公司对每一客户均设置了赊销限额，该限额为无需获得额外批准的最大额度。</w:t>
      </w:r>
    </w:p>
    <w:p w:rsidR="0058782B" w:rsidRPr="00F50B51" w:rsidRDefault="00F80EE7">
      <w:pPr>
        <w:pStyle w:val="a7"/>
        <w:spacing w:before="120" w:beforeAutospacing="0" w:after="0" w:afterAutospacing="0" w:line="420" w:lineRule="atLeast"/>
        <w:ind w:firstLine="420"/>
        <w:jc w:val="both"/>
        <w:rPr>
          <w:rFonts w:ascii="Times New Roman" w:hAnsi="Times New Roman" w:cs="Times New Roman"/>
          <w:sz w:val="21"/>
          <w:szCs w:val="21"/>
        </w:rPr>
      </w:pPr>
      <w:r w:rsidRPr="00F50B51">
        <w:rPr>
          <w:rFonts w:cs="Times New Roman" w:hint="eastAsia"/>
          <w:sz w:val="21"/>
          <w:szCs w:val="21"/>
        </w:rPr>
        <w:t>公司通过对已有客户信用评级的季度监控以及应收账款账龄分析的月度审核来确保公司的整体信用风险在可控的范围内。在监控客户的信用风险时，按照客户的信用特征对其分组。被评为“高风险”级别的客户会放在受限制客户名单里，并且只有在额外批准的前提下，公司才可在未来期间内对其赊销，否则必须要求其提前支付相应款项。</w:t>
      </w:r>
    </w:p>
    <w:p w:rsidR="0058782B" w:rsidRPr="00F50B51" w:rsidRDefault="00F80EE7">
      <w:pPr>
        <w:pStyle w:val="15"/>
        <w:rPr>
          <w:sz w:val="18"/>
          <w:szCs w:val="18"/>
        </w:rPr>
      </w:pPr>
      <w:r w:rsidRPr="00F50B51">
        <w:rPr>
          <w:rStyle w:val="a9"/>
          <w:rFonts w:ascii="Times New Roman" w:hAnsi="Times New Roman" w:cs="Times New Roman"/>
          <w:color w:val="000000"/>
          <w:sz w:val="21"/>
          <w:szCs w:val="21"/>
        </w:rPr>
        <w:t>2</w:t>
      </w:r>
      <w:r w:rsidRPr="00F50B51">
        <w:rPr>
          <w:rStyle w:val="a9"/>
          <w:rFonts w:ascii="黑体" w:eastAsia="黑体" w:hAnsi="黑体" w:cs="Times New Roman" w:hint="eastAsia"/>
          <w:color w:val="000000"/>
          <w:sz w:val="21"/>
          <w:szCs w:val="21"/>
        </w:rPr>
        <w:t>、市场风险</w:t>
      </w:r>
    </w:p>
    <w:p w:rsidR="0058782B" w:rsidRPr="00F50B51" w:rsidRDefault="00F80EE7">
      <w:pPr>
        <w:pStyle w:val="a7"/>
        <w:spacing w:before="120" w:beforeAutospacing="0" w:after="0" w:afterAutospacing="0" w:line="420" w:lineRule="atLeast"/>
        <w:ind w:firstLine="420"/>
        <w:jc w:val="both"/>
        <w:rPr>
          <w:rFonts w:ascii="Times New Roman" w:hAnsi="Times New Roman" w:cs="Times New Roman"/>
          <w:sz w:val="21"/>
          <w:szCs w:val="21"/>
        </w:rPr>
      </w:pPr>
      <w:r w:rsidRPr="00F50B51">
        <w:rPr>
          <w:rFonts w:cs="Times New Roman" w:hint="eastAsia"/>
          <w:sz w:val="21"/>
          <w:szCs w:val="21"/>
        </w:rPr>
        <w:t>金融工具的</w:t>
      </w:r>
      <w:r w:rsidRPr="00F50B51">
        <w:rPr>
          <w:rFonts w:cs="Times New Roman" w:hint="eastAsia"/>
          <w:sz w:val="21"/>
          <w:szCs w:val="21"/>
        </w:rPr>
        <w:t>市场风险，是指金融工具的公允价值或未来现金流量因市场价格变动而发生波动的风险，包括利率风险、外汇风险和其他价格风险。</w:t>
      </w:r>
    </w:p>
    <w:p w:rsidR="0058782B" w:rsidRPr="00F50B51" w:rsidRDefault="00F80EE7">
      <w:pPr>
        <w:pStyle w:val="a7"/>
        <w:spacing w:before="120" w:beforeAutospacing="0" w:after="0" w:afterAutospacing="0" w:line="42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1</w:t>
      </w:r>
      <w:r w:rsidRPr="00F50B51">
        <w:rPr>
          <w:rFonts w:cs="Times New Roman" w:hint="eastAsia"/>
          <w:sz w:val="21"/>
          <w:szCs w:val="21"/>
        </w:rPr>
        <w:t>）利率风险</w:t>
      </w:r>
    </w:p>
    <w:p w:rsidR="0058782B" w:rsidRPr="00F50B51" w:rsidRDefault="00F80EE7">
      <w:pPr>
        <w:pStyle w:val="a7"/>
        <w:spacing w:before="120" w:beforeAutospacing="0" w:after="0" w:afterAutospacing="0" w:line="420" w:lineRule="atLeast"/>
        <w:ind w:firstLine="420"/>
        <w:jc w:val="both"/>
        <w:rPr>
          <w:rFonts w:ascii="Times New Roman" w:hAnsi="Times New Roman" w:cs="Times New Roman"/>
          <w:sz w:val="21"/>
          <w:szCs w:val="21"/>
        </w:rPr>
      </w:pPr>
      <w:r w:rsidRPr="00F50B51">
        <w:rPr>
          <w:rFonts w:cs="Times New Roman" w:hint="eastAsia"/>
          <w:sz w:val="21"/>
          <w:szCs w:val="21"/>
        </w:rPr>
        <w:t>利率风险，是指金融工具的公允价值或未来现金流量因市场利率变动而发生波动的风险。公司面临的利率风险主要来源于银行短期借款。公司通过建立良好的银企关系，对授信额度、授信品种以及授信期限进行合理的设计，保障银行授信额度充足，满足公司各类短期融资需求。并且通过缩短单笔借款的期限，特别约定提前还款条款，合理降低利率波动风险。</w:t>
      </w:r>
    </w:p>
    <w:p w:rsidR="0058782B" w:rsidRPr="00F50B51" w:rsidRDefault="00F80EE7">
      <w:pPr>
        <w:pStyle w:val="a7"/>
        <w:spacing w:before="120" w:beforeAutospacing="0" w:after="0" w:afterAutospacing="0" w:line="42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2</w:t>
      </w:r>
      <w:r w:rsidRPr="00F50B51">
        <w:rPr>
          <w:rFonts w:cs="Times New Roman" w:hint="eastAsia"/>
          <w:sz w:val="21"/>
          <w:szCs w:val="21"/>
        </w:rPr>
        <w:t>）外汇风险</w:t>
      </w:r>
    </w:p>
    <w:p w:rsidR="0058782B" w:rsidRPr="00F50B51" w:rsidRDefault="00F80EE7">
      <w:pPr>
        <w:pStyle w:val="a7"/>
        <w:spacing w:before="120" w:beforeAutospacing="0" w:after="0" w:afterAutospacing="0" w:line="420" w:lineRule="atLeast"/>
        <w:ind w:firstLine="420"/>
        <w:jc w:val="both"/>
        <w:rPr>
          <w:rFonts w:ascii="Times New Roman" w:hAnsi="Times New Roman" w:cs="Times New Roman"/>
          <w:sz w:val="21"/>
          <w:szCs w:val="21"/>
        </w:rPr>
      </w:pPr>
      <w:r w:rsidRPr="00F50B51">
        <w:rPr>
          <w:rFonts w:cs="Times New Roman" w:hint="eastAsia"/>
          <w:sz w:val="21"/>
          <w:szCs w:val="21"/>
        </w:rPr>
        <w:t>公司产品销往美国、韩国、日本、欧洲以及亚洲其他地区时主要以美元结算。公司外销业务给予客户一定的信用期，如果人民币相对于美元升值，公司外币应收账款将发生汇兑损失。</w:t>
      </w:r>
    </w:p>
    <w:p w:rsidR="0058782B" w:rsidRPr="00F50B51" w:rsidRDefault="00F80EE7">
      <w:pPr>
        <w:pStyle w:val="a7"/>
        <w:spacing w:before="120" w:beforeAutospacing="0" w:after="0" w:afterAutospacing="0" w:line="420" w:lineRule="atLeast"/>
        <w:ind w:firstLine="420"/>
        <w:jc w:val="both"/>
        <w:rPr>
          <w:rFonts w:ascii="Times New Roman" w:hAnsi="Times New Roman" w:cs="Times New Roman"/>
          <w:sz w:val="21"/>
          <w:szCs w:val="21"/>
        </w:rPr>
      </w:pPr>
      <w:r w:rsidRPr="00F50B51">
        <w:rPr>
          <w:rFonts w:cs="Times New Roman" w:hint="eastAsia"/>
          <w:sz w:val="21"/>
          <w:szCs w:val="21"/>
        </w:rPr>
        <w:t>（</w:t>
      </w:r>
      <w:r w:rsidRPr="00F50B51">
        <w:rPr>
          <w:rFonts w:ascii="Times New Roman" w:hAnsi="Times New Roman" w:cs="Times New Roman"/>
          <w:sz w:val="21"/>
          <w:szCs w:val="21"/>
        </w:rPr>
        <w:t>3</w:t>
      </w:r>
      <w:r w:rsidRPr="00F50B51">
        <w:rPr>
          <w:rFonts w:cs="Times New Roman" w:hint="eastAsia"/>
          <w:sz w:val="21"/>
          <w:szCs w:val="21"/>
        </w:rPr>
        <w:t>）其他价格风险</w:t>
      </w:r>
    </w:p>
    <w:p w:rsidR="0058782B" w:rsidRPr="00F50B51" w:rsidRDefault="00F80EE7">
      <w:pPr>
        <w:pStyle w:val="a7"/>
        <w:spacing w:before="120" w:beforeAutospacing="0" w:after="0" w:afterAutospacing="0" w:line="420" w:lineRule="atLeast"/>
        <w:ind w:firstLine="420"/>
        <w:jc w:val="both"/>
        <w:rPr>
          <w:rFonts w:ascii="Times New Roman" w:hAnsi="Times New Roman" w:cs="Times New Roman"/>
          <w:sz w:val="21"/>
          <w:szCs w:val="21"/>
        </w:rPr>
      </w:pPr>
      <w:r w:rsidRPr="00F50B51">
        <w:rPr>
          <w:rFonts w:cs="Times New Roman" w:hint="eastAsia"/>
          <w:sz w:val="21"/>
          <w:szCs w:val="21"/>
        </w:rPr>
        <w:t>公司主营业务为钨制品的开发、生产与销售，主要原料为钨精矿。公司生产所需的钨精矿通过外购获得，如果未来钨精矿价格发生剧烈变化而钨制品价格未能同步变动，将会对公司主要产品的毛利率水平及经营业绩产生影响。</w:t>
      </w:r>
    </w:p>
    <w:p w:rsidR="0058782B" w:rsidRPr="00F50B51" w:rsidRDefault="00F80EE7">
      <w:pPr>
        <w:pStyle w:val="15"/>
        <w:rPr>
          <w:sz w:val="18"/>
          <w:szCs w:val="18"/>
        </w:rPr>
      </w:pPr>
      <w:r w:rsidRPr="00F50B51">
        <w:rPr>
          <w:rStyle w:val="a9"/>
          <w:rFonts w:ascii="Times New Roman" w:hAnsi="Times New Roman" w:cs="Times New Roman"/>
          <w:color w:val="000000"/>
          <w:sz w:val="21"/>
          <w:szCs w:val="21"/>
        </w:rPr>
        <w:t>3</w:t>
      </w:r>
      <w:r w:rsidRPr="00F50B51">
        <w:rPr>
          <w:rStyle w:val="a9"/>
          <w:rFonts w:ascii="黑体" w:eastAsia="黑体" w:hAnsi="黑体" w:cs="Times New Roman" w:hint="eastAsia"/>
          <w:color w:val="000000"/>
          <w:sz w:val="21"/>
          <w:szCs w:val="21"/>
        </w:rPr>
        <w:t>、流动性风险</w:t>
      </w:r>
    </w:p>
    <w:p w:rsidR="0058782B" w:rsidRPr="00F50B51" w:rsidRDefault="00F80EE7">
      <w:pPr>
        <w:pStyle w:val="a7"/>
        <w:spacing w:before="120" w:beforeAutospacing="0" w:after="0" w:afterAutospacing="0" w:line="420" w:lineRule="atLeast"/>
        <w:ind w:firstLine="420"/>
        <w:jc w:val="both"/>
        <w:rPr>
          <w:rFonts w:ascii="Times New Roman" w:hAnsi="Times New Roman" w:cs="Times New Roman"/>
          <w:sz w:val="21"/>
          <w:szCs w:val="21"/>
        </w:rPr>
      </w:pPr>
      <w:r w:rsidRPr="00F50B51">
        <w:rPr>
          <w:rFonts w:cs="Times New Roman" w:hint="eastAsia"/>
          <w:sz w:val="21"/>
          <w:szCs w:val="21"/>
        </w:rPr>
        <w:t>流动性风险，是指企业在履行以交付现金或其他金融资产的方式结算的义务时发生资金短缺的风险。公司的政策是确保拥有充足的</w:t>
      </w:r>
      <w:r w:rsidRPr="00F50B51">
        <w:rPr>
          <w:rFonts w:cs="Times New Roman" w:hint="eastAsia"/>
          <w:sz w:val="21"/>
          <w:szCs w:val="21"/>
        </w:rPr>
        <w:t>现金以偿还到期债务。流动性风险由本公司的财务部门集中控制。财务部门通过监控现金余额、可随时变现的有价证券以及对未来</w:t>
      </w:r>
      <w:r w:rsidRPr="00F50B51">
        <w:rPr>
          <w:rFonts w:ascii="Times New Roman" w:hAnsi="Times New Roman" w:cs="Times New Roman"/>
          <w:sz w:val="21"/>
          <w:szCs w:val="21"/>
        </w:rPr>
        <w:t>12</w:t>
      </w:r>
      <w:r w:rsidRPr="00F50B51">
        <w:rPr>
          <w:rFonts w:cs="Times New Roman" w:hint="eastAsia"/>
          <w:sz w:val="21"/>
          <w:szCs w:val="21"/>
        </w:rPr>
        <w:t>个月现金流量的滚动预测，确保公司在所有合理预测的情况下拥有充足的资金偿还债务。公司各项金融负债预计</w:t>
      </w:r>
      <w:r w:rsidRPr="00F50B51">
        <w:rPr>
          <w:rFonts w:ascii="Times New Roman" w:hAnsi="Times New Roman" w:cs="Times New Roman"/>
          <w:sz w:val="21"/>
          <w:szCs w:val="21"/>
        </w:rPr>
        <w:t>1</w:t>
      </w:r>
      <w:r w:rsidRPr="00F50B51">
        <w:rPr>
          <w:rFonts w:cs="Times New Roman" w:hint="eastAsia"/>
          <w:sz w:val="21"/>
          <w:szCs w:val="21"/>
        </w:rPr>
        <w:t>年内到期。</w:t>
      </w:r>
    </w:p>
    <w:p w:rsidR="0058782B" w:rsidRPr="00F50B51" w:rsidRDefault="00F80EE7">
      <w:pPr>
        <w:pStyle w:val="2"/>
        <w:spacing w:before="300" w:after="300" w:line="320" w:lineRule="exact"/>
        <w:rPr>
          <w:rFonts w:ascii="宋体" w:eastAsia="宋体" w:hAnsi="宋体" w:cs="宋体"/>
          <w:b/>
          <w:bCs/>
          <w:sz w:val="24"/>
          <w:szCs w:val="24"/>
        </w:rPr>
      </w:pPr>
      <w:bookmarkStart w:id="409" w:name="_Toc989297"/>
      <w:r w:rsidRPr="00F50B51">
        <w:rPr>
          <w:rFonts w:ascii="宋体" w:eastAsia="宋体" w:hAnsi="宋体" w:cs="宋体"/>
          <w:b/>
          <w:bCs/>
          <w:sz w:val="24"/>
          <w:szCs w:val="24"/>
        </w:rPr>
        <w:t>十一、公允价值的披露</w:t>
      </w:r>
      <w:bookmarkEnd w:id="409"/>
    </w:p>
    <w:p w:rsidR="0058782B" w:rsidRPr="00F50B51" w:rsidRDefault="00F80EE7">
      <w:pPr>
        <w:pStyle w:val="3"/>
        <w:spacing w:line="280" w:lineRule="exact"/>
        <w:jc w:val="left"/>
        <w:rPr>
          <w:rFonts w:ascii="宋体" w:hAnsi="宋体" w:cs="宋体"/>
          <w:b/>
          <w:bCs/>
        </w:rPr>
      </w:pPr>
      <w:bookmarkStart w:id="410" w:name="_Toc989298"/>
      <w:r w:rsidRPr="00F50B51">
        <w:rPr>
          <w:rFonts w:ascii="宋体" w:hAnsi="宋体" w:cs="宋体"/>
          <w:b/>
          <w:bCs/>
        </w:rPr>
        <w:t>1</w:t>
      </w:r>
      <w:r w:rsidRPr="00F50B51">
        <w:rPr>
          <w:rFonts w:ascii="宋体" w:hAnsi="宋体" w:cs="宋体"/>
          <w:b/>
          <w:bCs/>
        </w:rPr>
        <w:t>、以公允价值计量的资产和负债的期末公允价值</w:t>
      </w:r>
      <w:bookmarkEnd w:id="41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771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期末公允价值</w:t>
            </w:r>
          </w:p>
        </w:tc>
      </w:tr>
      <w:tr w:rsidR="0058782B" w:rsidRPr="00F50B5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第一层次公允价值计量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第二层次公允价值计量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第三层次公允价值计量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一、持续的公允价值计量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（一）交易性金融资产</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101,660.00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101,660.00</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（三）其他权益工具投资</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13,763,490.85</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13,763,490.85</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应收款项融资</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82,963,531.39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82,963,531.39</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持续以公允价值计量的资产总额</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101,660.00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101,660.00</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二、非持续的公允价值计量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r>
    </w:tbl>
    <w:p w:rsidR="0058782B" w:rsidRPr="00F50B51" w:rsidRDefault="00F80EE7">
      <w:pPr>
        <w:pStyle w:val="3"/>
        <w:spacing w:line="280" w:lineRule="exact"/>
        <w:jc w:val="left"/>
        <w:rPr>
          <w:rFonts w:ascii="宋体" w:hAnsi="宋体" w:cs="宋体"/>
          <w:b/>
          <w:bCs/>
        </w:rPr>
      </w:pPr>
      <w:bookmarkStart w:id="411" w:name="_Toc989299"/>
      <w:r w:rsidRPr="00F50B51">
        <w:rPr>
          <w:rFonts w:ascii="宋体" w:hAnsi="宋体" w:cs="宋体"/>
          <w:b/>
          <w:bCs/>
        </w:rPr>
        <w:t>2</w:t>
      </w:r>
      <w:r w:rsidRPr="00F50B51">
        <w:rPr>
          <w:rFonts w:ascii="宋体" w:hAnsi="宋体" w:cs="宋体"/>
          <w:b/>
          <w:bCs/>
        </w:rPr>
        <w:t>、持续和非持续第一层次公允价值计量项目市价的确定依据</w:t>
      </w:r>
      <w:bookmarkEnd w:id="411"/>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12" w:name="_Toc989300"/>
      <w:r w:rsidRPr="00F50B51">
        <w:rPr>
          <w:rFonts w:ascii="宋体" w:hAnsi="宋体" w:cs="宋体"/>
          <w:b/>
          <w:bCs/>
        </w:rPr>
        <w:t>3</w:t>
      </w:r>
      <w:r w:rsidRPr="00F50B51">
        <w:rPr>
          <w:rFonts w:ascii="宋体" w:hAnsi="宋体" w:cs="宋体"/>
          <w:b/>
          <w:bCs/>
        </w:rPr>
        <w:t>、持续和非持续第二层次公允价值计量项目，采用的估值技术和重要参数的定性及定量信息</w:t>
      </w:r>
      <w:bookmarkEnd w:id="412"/>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13" w:name="_Toc989301"/>
      <w:r w:rsidRPr="00F50B51">
        <w:rPr>
          <w:rFonts w:ascii="宋体" w:hAnsi="宋体" w:cs="宋体"/>
          <w:b/>
          <w:bCs/>
        </w:rPr>
        <w:t>4</w:t>
      </w:r>
      <w:r w:rsidRPr="00F50B51">
        <w:rPr>
          <w:rFonts w:ascii="宋体" w:hAnsi="宋体" w:cs="宋体"/>
          <w:b/>
          <w:bCs/>
        </w:rPr>
        <w:t>、持续和非持续第三层次公允价值计量项目，采用的估值技术和重要参数的定性及定量信息</w:t>
      </w:r>
      <w:bookmarkEnd w:id="413"/>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14" w:name="_Toc989302"/>
      <w:r w:rsidRPr="00F50B51">
        <w:rPr>
          <w:rFonts w:ascii="宋体" w:hAnsi="宋体" w:cs="宋体"/>
          <w:b/>
          <w:bCs/>
        </w:rPr>
        <w:t>5</w:t>
      </w:r>
      <w:r w:rsidRPr="00F50B51">
        <w:rPr>
          <w:rFonts w:ascii="宋体" w:hAnsi="宋体" w:cs="宋体"/>
          <w:b/>
          <w:bCs/>
        </w:rPr>
        <w:t>、持续的第三层次公允价值计量项目，期初与期末账面价值间的调节信息及不可观察参数敏感性分析</w:t>
      </w:r>
      <w:bookmarkEnd w:id="414"/>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15" w:name="_Toc989303"/>
      <w:r w:rsidRPr="00F50B51">
        <w:rPr>
          <w:rFonts w:ascii="宋体" w:hAnsi="宋体" w:cs="宋体"/>
          <w:b/>
          <w:bCs/>
        </w:rPr>
        <w:t>6</w:t>
      </w:r>
      <w:r w:rsidRPr="00F50B51">
        <w:rPr>
          <w:rFonts w:ascii="宋体" w:hAnsi="宋体" w:cs="宋体"/>
          <w:b/>
          <w:bCs/>
        </w:rPr>
        <w:t>、持续的公允价值计量项目，本期内发生各层级之间转换的，转换的原因及确定转换时点的政策</w:t>
      </w:r>
      <w:bookmarkEnd w:id="415"/>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16" w:name="_Toc989304"/>
      <w:r w:rsidRPr="00F50B51">
        <w:rPr>
          <w:rFonts w:ascii="宋体" w:hAnsi="宋体" w:cs="宋体"/>
          <w:b/>
          <w:bCs/>
        </w:rPr>
        <w:t>7</w:t>
      </w:r>
      <w:r w:rsidRPr="00F50B51">
        <w:rPr>
          <w:rFonts w:ascii="宋体" w:hAnsi="宋体" w:cs="宋体"/>
          <w:b/>
          <w:bCs/>
        </w:rPr>
        <w:t>、本期内发生的估值技术变更及变更原因</w:t>
      </w:r>
      <w:bookmarkEnd w:id="416"/>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17" w:name="_Toc989305"/>
      <w:r w:rsidRPr="00F50B51">
        <w:rPr>
          <w:rFonts w:ascii="宋体" w:hAnsi="宋体" w:cs="宋体"/>
          <w:b/>
          <w:bCs/>
        </w:rPr>
        <w:t>8</w:t>
      </w:r>
      <w:r w:rsidRPr="00F50B51">
        <w:rPr>
          <w:rFonts w:ascii="宋体" w:hAnsi="宋体" w:cs="宋体"/>
          <w:b/>
          <w:bCs/>
        </w:rPr>
        <w:t>、不以公允价值计量的金融资产和金融负债的公允价值情况</w:t>
      </w:r>
      <w:bookmarkEnd w:id="417"/>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18" w:name="_Toc989306"/>
      <w:r w:rsidRPr="00F50B51">
        <w:rPr>
          <w:rFonts w:ascii="宋体" w:hAnsi="宋体" w:cs="宋体"/>
          <w:b/>
          <w:bCs/>
        </w:rPr>
        <w:t>9</w:t>
      </w:r>
      <w:r w:rsidRPr="00F50B51">
        <w:rPr>
          <w:rFonts w:ascii="宋体" w:hAnsi="宋体" w:cs="宋体"/>
          <w:b/>
          <w:bCs/>
        </w:rPr>
        <w:t>、其他</w:t>
      </w:r>
      <w:bookmarkEnd w:id="418"/>
    </w:p>
    <w:p w:rsidR="0058782B" w:rsidRPr="00F50B51" w:rsidRDefault="0058782B">
      <w:pPr>
        <w:rPr>
          <w:sz w:val="18"/>
          <w:szCs w:val="18"/>
        </w:rPr>
      </w:pPr>
    </w:p>
    <w:p w:rsidR="0058782B" w:rsidRPr="00F50B51" w:rsidRDefault="00F80EE7">
      <w:pPr>
        <w:pStyle w:val="2"/>
        <w:spacing w:before="300" w:after="300" w:line="320" w:lineRule="exact"/>
        <w:rPr>
          <w:rFonts w:ascii="宋体" w:eastAsia="宋体" w:hAnsi="宋体" w:cs="宋体"/>
          <w:b/>
          <w:bCs/>
          <w:sz w:val="24"/>
          <w:szCs w:val="24"/>
        </w:rPr>
      </w:pPr>
      <w:bookmarkStart w:id="419" w:name="_Toc989307"/>
      <w:r w:rsidRPr="00F50B51">
        <w:rPr>
          <w:rFonts w:ascii="宋体" w:eastAsia="宋体" w:hAnsi="宋体" w:cs="宋体"/>
          <w:b/>
          <w:bCs/>
          <w:sz w:val="24"/>
          <w:szCs w:val="24"/>
        </w:rPr>
        <w:t>十二、关联方及关联交易</w:t>
      </w:r>
      <w:bookmarkEnd w:id="419"/>
    </w:p>
    <w:p w:rsidR="0058782B" w:rsidRPr="00F50B51" w:rsidRDefault="00F80EE7">
      <w:pPr>
        <w:pStyle w:val="3"/>
        <w:spacing w:line="280" w:lineRule="exact"/>
        <w:jc w:val="left"/>
        <w:rPr>
          <w:rFonts w:ascii="宋体" w:hAnsi="宋体" w:cs="宋体"/>
          <w:b/>
          <w:bCs/>
        </w:rPr>
      </w:pPr>
      <w:bookmarkStart w:id="420" w:name="_Toc989308"/>
      <w:r w:rsidRPr="00F50B51">
        <w:rPr>
          <w:rFonts w:ascii="宋体" w:hAnsi="宋体" w:cs="宋体"/>
          <w:b/>
          <w:bCs/>
        </w:rPr>
        <w:t>1</w:t>
      </w:r>
      <w:r w:rsidRPr="00F50B51">
        <w:rPr>
          <w:rFonts w:ascii="宋体" w:hAnsi="宋体" w:cs="宋体"/>
          <w:b/>
          <w:bCs/>
        </w:rPr>
        <w:t>、本企业的母公司情况</w:t>
      </w:r>
      <w:bookmarkEnd w:id="420"/>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母公司名称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注册地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业务性质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注册资本</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母公司对本企业的持股比例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母公司对本企业的表决权比例</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本企业的母公司情况的说明</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本企业最终控制方是。</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21" w:name="_Toc989309"/>
      <w:r w:rsidRPr="00F50B51">
        <w:rPr>
          <w:rFonts w:ascii="宋体" w:hAnsi="宋体" w:cs="宋体"/>
          <w:b/>
          <w:bCs/>
        </w:rPr>
        <w:t>2</w:t>
      </w:r>
      <w:r w:rsidRPr="00F50B51">
        <w:rPr>
          <w:rFonts w:ascii="宋体" w:hAnsi="宋体" w:cs="宋体"/>
          <w:b/>
          <w:bCs/>
        </w:rPr>
        <w:t>、本企业的子公司情况</w:t>
      </w:r>
      <w:bookmarkEnd w:id="421"/>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本企业子公司的情况详见附注九</w:t>
      </w:r>
      <w:r w:rsidRPr="00F50B51">
        <w:rPr>
          <w:rFonts w:ascii="宋体" w:eastAsia="宋体" w:hAnsi="宋体" w:cs="宋体"/>
          <w:sz w:val="18"/>
          <w:szCs w:val="18"/>
        </w:rPr>
        <w:t xml:space="preserve">-1 </w:t>
      </w:r>
      <w:r w:rsidRPr="00F50B51">
        <w:rPr>
          <w:rFonts w:ascii="宋体" w:eastAsia="宋体" w:hAnsi="宋体" w:cs="宋体"/>
          <w:sz w:val="18"/>
          <w:szCs w:val="18"/>
        </w:rPr>
        <w:t>在子公司中的权益。</w:t>
      </w:r>
    </w:p>
    <w:p w:rsidR="0058782B" w:rsidRPr="00F50B51" w:rsidRDefault="00F80EE7">
      <w:pPr>
        <w:pStyle w:val="3"/>
        <w:spacing w:line="280" w:lineRule="exact"/>
        <w:jc w:val="left"/>
        <w:rPr>
          <w:rFonts w:ascii="宋体" w:hAnsi="宋体" w:cs="宋体"/>
          <w:b/>
          <w:bCs/>
        </w:rPr>
      </w:pPr>
      <w:bookmarkStart w:id="422" w:name="_Toc989310"/>
      <w:r w:rsidRPr="00F50B51">
        <w:rPr>
          <w:rFonts w:ascii="宋体" w:hAnsi="宋体" w:cs="宋体"/>
          <w:b/>
          <w:bCs/>
        </w:rPr>
        <w:t>3</w:t>
      </w:r>
      <w:r w:rsidRPr="00F50B51">
        <w:rPr>
          <w:rFonts w:ascii="宋体" w:hAnsi="宋体" w:cs="宋体"/>
          <w:b/>
          <w:bCs/>
        </w:rPr>
        <w:t>、本企业合营和联营企业情况</w:t>
      </w:r>
      <w:bookmarkEnd w:id="422"/>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本企业重要的合营或联营企业详见附注九</w:t>
      </w:r>
      <w:r w:rsidRPr="00F50B51">
        <w:rPr>
          <w:rFonts w:ascii="宋体" w:eastAsia="宋体" w:hAnsi="宋体" w:cs="宋体"/>
          <w:sz w:val="18"/>
          <w:szCs w:val="18"/>
        </w:rPr>
        <w:t>-3-</w:t>
      </w:r>
      <w:r w:rsidRPr="00F50B51">
        <w:rPr>
          <w:rFonts w:ascii="宋体" w:eastAsia="宋体" w:hAnsi="宋体" w:cs="宋体"/>
          <w:sz w:val="18"/>
          <w:szCs w:val="18"/>
        </w:rPr>
        <w:t>（</w:t>
      </w:r>
      <w:r w:rsidRPr="00F50B51">
        <w:rPr>
          <w:rFonts w:ascii="宋体" w:eastAsia="宋体" w:hAnsi="宋体" w:cs="宋体"/>
          <w:sz w:val="18"/>
          <w:szCs w:val="18"/>
        </w:rPr>
        <w:t>1</w:t>
      </w:r>
      <w:r w:rsidRPr="00F50B51">
        <w:rPr>
          <w:rFonts w:ascii="宋体" w:eastAsia="宋体" w:hAnsi="宋体" w:cs="宋体"/>
          <w:sz w:val="18"/>
          <w:szCs w:val="18"/>
        </w:rPr>
        <w:t>）重要的合营企业或联营企业。</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本期与本公司发生关联方交易，或前期与本公司发生关联方交易形成余额的其他合营或联营企业情况如下：</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合营或联营企业名称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与本企业关系</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23" w:name="_Toc989311"/>
      <w:r w:rsidRPr="00F50B51">
        <w:rPr>
          <w:rFonts w:ascii="宋体" w:hAnsi="宋体" w:cs="宋体"/>
          <w:b/>
          <w:bCs/>
        </w:rPr>
        <w:t>4</w:t>
      </w:r>
      <w:r w:rsidRPr="00F50B51">
        <w:rPr>
          <w:rFonts w:ascii="宋体" w:hAnsi="宋体" w:cs="宋体"/>
          <w:b/>
          <w:bCs/>
        </w:rPr>
        <w:t>、其他关联方情况</w:t>
      </w:r>
      <w:bookmarkEnd w:id="423"/>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其他关联方名称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其他关联方与本企业关系</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大余县佳信有色金属矿产品有限公司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实际控制人控制的其他企业</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大余县光耀矿产品有限公司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实际控制人控制的其他企业</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大余县佳禾矿产品有限公司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实际控制人控制的其他企业</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新疆天科汇能环境工程有限公司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同一控制人</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新疆坤祥矿业开发有限公司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实际控制人参股的企业</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潮州市湘桥区兆丰小额贷款股份有限公司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参股企业</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广州民营投资股份有限公司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参股企业</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佛山市顺德区龙江镇永隆电脑间棉有限公司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实际控制人儿媳胡琦玲父母现持有</w:t>
            </w:r>
            <w:r w:rsidRPr="00F50B51">
              <w:rPr>
                <w:rFonts w:ascii="宋体" w:eastAsia="宋体" w:hAnsi="宋体" w:cs="宋体"/>
                <w:sz w:val="18"/>
                <w:szCs w:val="18"/>
              </w:rPr>
              <w:t>100%</w:t>
            </w:r>
            <w:r w:rsidRPr="00F50B51">
              <w:rPr>
                <w:rFonts w:ascii="宋体" w:eastAsia="宋体" w:hAnsi="宋体" w:cs="宋体"/>
                <w:sz w:val="18"/>
                <w:szCs w:val="18"/>
              </w:rPr>
              <w:t>股权</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胡绮玲</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公司董事、总经理陈伟东之配偶</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佟永峰</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公司副总经理、董事会秘书李盛意之配偶</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黄慕洁</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公司监事付胜之配偶</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潮州市东顺祥贸易有限公司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公司董事、总经理陈伟东控制的企业</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潮州市木棉酒店管理有限公司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公司董事、总经理陈伟东参股的企业</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潮州市牧韩旅游文化传播有限公司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公司董事、总经理陈伟东参股的企业</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24" w:name="_Toc989312"/>
      <w:r w:rsidRPr="00F50B51">
        <w:rPr>
          <w:rFonts w:ascii="宋体" w:hAnsi="宋体" w:cs="宋体"/>
          <w:b/>
          <w:bCs/>
        </w:rPr>
        <w:t>5</w:t>
      </w:r>
      <w:r w:rsidRPr="00F50B51">
        <w:rPr>
          <w:rFonts w:ascii="宋体" w:hAnsi="宋体" w:cs="宋体"/>
          <w:b/>
          <w:bCs/>
        </w:rPr>
        <w:t>、关联交易情况</w:t>
      </w:r>
      <w:bookmarkEnd w:id="424"/>
    </w:p>
    <w:p w:rsidR="0058782B" w:rsidRPr="00F50B51" w:rsidRDefault="00F80EE7">
      <w:pPr>
        <w:keepNext/>
        <w:keepLines/>
        <w:spacing w:before="300" w:after="300" w:line="280" w:lineRule="exact"/>
        <w:outlineLvl w:val="3"/>
        <w:rPr>
          <w:rFonts w:ascii="宋体" w:eastAsia="宋体" w:hAnsi="宋体" w:cs="宋体"/>
          <w:b/>
          <w:bCs/>
          <w:szCs w:val="21"/>
        </w:rPr>
      </w:pPr>
      <w:bookmarkStart w:id="425" w:name="_Toc989313"/>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购销商品、提供和接受劳务的关联交易</w:t>
      </w:r>
      <w:bookmarkEnd w:id="425"/>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采购商品</w:t>
      </w:r>
      <w:r w:rsidRPr="00F50B51">
        <w:rPr>
          <w:rFonts w:ascii="宋体" w:eastAsia="宋体" w:hAnsi="宋体" w:cs="宋体"/>
          <w:sz w:val="18"/>
          <w:szCs w:val="18"/>
        </w:rPr>
        <w:t>/</w:t>
      </w:r>
      <w:r w:rsidRPr="00F50B51">
        <w:rPr>
          <w:rFonts w:ascii="宋体" w:eastAsia="宋体" w:hAnsi="宋体" w:cs="宋体"/>
          <w:sz w:val="18"/>
          <w:szCs w:val="18"/>
        </w:rPr>
        <w:t>接受劳务情况表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关联方</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关联交易内容</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获批的交易额度</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是否超过交易额度</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bl>
    <w:p w:rsidR="0058782B" w:rsidRPr="00F50B51" w:rsidRDefault="00F80EE7">
      <w:pPr>
        <w:spacing w:before="100" w:after="40" w:line="240" w:lineRule="exact"/>
        <w:rPr>
          <w:rFonts w:ascii="宋体" w:eastAsia="宋体" w:hAnsi="宋体" w:cs="宋体"/>
          <w:sz w:val="18"/>
          <w:szCs w:val="18"/>
        </w:rPr>
      </w:pPr>
      <w:r w:rsidRPr="00F50B51">
        <w:rPr>
          <w:rFonts w:ascii="宋体" w:eastAsia="宋体" w:hAnsi="宋体" w:cs="宋体"/>
          <w:sz w:val="18"/>
          <w:szCs w:val="18"/>
        </w:rPr>
        <w:t>出售商品</w:t>
      </w:r>
      <w:r w:rsidRPr="00F50B51">
        <w:rPr>
          <w:rFonts w:ascii="宋体" w:eastAsia="宋体" w:hAnsi="宋体" w:cs="宋体"/>
          <w:sz w:val="18"/>
          <w:szCs w:val="18"/>
        </w:rPr>
        <w:t>/</w:t>
      </w:r>
      <w:r w:rsidRPr="00F50B51">
        <w:rPr>
          <w:rFonts w:ascii="宋体" w:eastAsia="宋体" w:hAnsi="宋体" w:cs="宋体"/>
          <w:sz w:val="18"/>
          <w:szCs w:val="18"/>
        </w:rPr>
        <w:t>提供劳务情况表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关联交易内容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购销商品、提供和接受劳务的关联交易说明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26" w:name="_Toc989314"/>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关联受托管理</w:t>
      </w:r>
      <w:r w:rsidRPr="00F50B51">
        <w:rPr>
          <w:rFonts w:ascii="宋体" w:eastAsia="宋体" w:hAnsi="宋体" w:cs="宋体"/>
          <w:b/>
          <w:bCs/>
          <w:szCs w:val="21"/>
        </w:rPr>
        <w:t>/</w:t>
      </w:r>
      <w:r w:rsidRPr="00F50B51">
        <w:rPr>
          <w:rFonts w:ascii="宋体" w:eastAsia="宋体" w:hAnsi="宋体" w:cs="宋体"/>
          <w:b/>
          <w:bCs/>
          <w:szCs w:val="21"/>
        </w:rPr>
        <w:t>承包及委托管理</w:t>
      </w:r>
      <w:r w:rsidRPr="00F50B51">
        <w:rPr>
          <w:rFonts w:ascii="宋体" w:eastAsia="宋体" w:hAnsi="宋体" w:cs="宋体"/>
          <w:b/>
          <w:bCs/>
          <w:szCs w:val="21"/>
        </w:rPr>
        <w:t>/</w:t>
      </w:r>
      <w:r w:rsidRPr="00F50B51">
        <w:rPr>
          <w:rFonts w:ascii="宋体" w:eastAsia="宋体" w:hAnsi="宋体" w:cs="宋体"/>
          <w:b/>
          <w:bCs/>
          <w:szCs w:val="21"/>
        </w:rPr>
        <w:t>出包情况</w:t>
      </w:r>
      <w:bookmarkEnd w:id="426"/>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本公司受托管理</w:t>
      </w:r>
      <w:r w:rsidRPr="00F50B51">
        <w:rPr>
          <w:rFonts w:ascii="宋体" w:eastAsia="宋体" w:hAnsi="宋体" w:cs="宋体"/>
          <w:sz w:val="18"/>
          <w:szCs w:val="18"/>
        </w:rPr>
        <w:t>/</w:t>
      </w:r>
      <w:r w:rsidRPr="00F50B51">
        <w:rPr>
          <w:rFonts w:ascii="宋体" w:eastAsia="宋体" w:hAnsi="宋体" w:cs="宋体"/>
          <w:sz w:val="18"/>
          <w:szCs w:val="18"/>
        </w:rPr>
        <w:t>承包情况表：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委托方</w:t>
            </w:r>
            <w:r w:rsidRPr="00F50B51">
              <w:rPr>
                <w:rFonts w:ascii="宋体" w:eastAsia="宋体" w:hAnsi="宋体" w:cs="宋体"/>
                <w:sz w:val="18"/>
                <w:szCs w:val="18"/>
              </w:rPr>
              <w:t>/</w:t>
            </w:r>
            <w:r w:rsidRPr="00F50B51">
              <w:rPr>
                <w:rFonts w:ascii="宋体" w:eastAsia="宋体" w:hAnsi="宋体" w:cs="宋体"/>
                <w:sz w:val="18"/>
                <w:szCs w:val="18"/>
              </w:rPr>
              <w:t>出包方名称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受托方</w:t>
            </w:r>
            <w:r w:rsidRPr="00F50B51">
              <w:rPr>
                <w:rFonts w:ascii="宋体" w:eastAsia="宋体" w:hAnsi="宋体" w:cs="宋体"/>
                <w:sz w:val="18"/>
                <w:szCs w:val="18"/>
              </w:rPr>
              <w:t>/</w:t>
            </w:r>
            <w:r w:rsidRPr="00F50B51">
              <w:rPr>
                <w:rFonts w:ascii="宋体" w:eastAsia="宋体" w:hAnsi="宋体" w:cs="宋体"/>
                <w:sz w:val="18"/>
                <w:szCs w:val="18"/>
              </w:rPr>
              <w:t>承包方名称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受托</w:t>
            </w:r>
            <w:r w:rsidRPr="00F50B51">
              <w:rPr>
                <w:rFonts w:ascii="宋体" w:eastAsia="宋体" w:hAnsi="宋体" w:cs="宋体"/>
                <w:sz w:val="18"/>
                <w:szCs w:val="18"/>
              </w:rPr>
              <w:t>/</w:t>
            </w:r>
            <w:r w:rsidRPr="00F50B51">
              <w:rPr>
                <w:rFonts w:ascii="宋体" w:eastAsia="宋体" w:hAnsi="宋体" w:cs="宋体"/>
                <w:sz w:val="18"/>
                <w:szCs w:val="18"/>
              </w:rPr>
              <w:t>承包资产类型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受托</w:t>
            </w:r>
            <w:r w:rsidRPr="00F50B51">
              <w:rPr>
                <w:rFonts w:ascii="宋体" w:eastAsia="宋体" w:hAnsi="宋体" w:cs="宋体"/>
                <w:sz w:val="18"/>
                <w:szCs w:val="18"/>
              </w:rPr>
              <w:t>/</w:t>
            </w:r>
            <w:r w:rsidRPr="00F50B51">
              <w:rPr>
                <w:rFonts w:ascii="宋体" w:eastAsia="宋体" w:hAnsi="宋体" w:cs="宋体"/>
                <w:sz w:val="18"/>
                <w:szCs w:val="18"/>
              </w:rPr>
              <w:t>承包起始日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受托</w:t>
            </w:r>
            <w:r w:rsidRPr="00F50B51">
              <w:rPr>
                <w:rFonts w:ascii="宋体" w:eastAsia="宋体" w:hAnsi="宋体" w:cs="宋体"/>
                <w:sz w:val="18"/>
                <w:szCs w:val="18"/>
              </w:rPr>
              <w:t>/</w:t>
            </w:r>
            <w:r w:rsidRPr="00F50B51">
              <w:rPr>
                <w:rFonts w:ascii="宋体" w:eastAsia="宋体" w:hAnsi="宋体" w:cs="宋体"/>
                <w:sz w:val="18"/>
                <w:szCs w:val="18"/>
              </w:rPr>
              <w:t>承包终止日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托管收益</w:t>
            </w:r>
            <w:r w:rsidRPr="00F50B51">
              <w:rPr>
                <w:rFonts w:ascii="宋体" w:eastAsia="宋体" w:hAnsi="宋体" w:cs="宋体"/>
                <w:sz w:val="18"/>
                <w:szCs w:val="18"/>
              </w:rPr>
              <w:t>/</w:t>
            </w:r>
            <w:r w:rsidRPr="00F50B51">
              <w:rPr>
                <w:rFonts w:ascii="宋体" w:eastAsia="宋体" w:hAnsi="宋体" w:cs="宋体"/>
                <w:sz w:val="18"/>
                <w:szCs w:val="18"/>
              </w:rPr>
              <w:t>承包收益定价依据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本期确认的托管收益</w:t>
            </w:r>
            <w:r w:rsidRPr="00F50B51">
              <w:rPr>
                <w:rFonts w:ascii="宋体" w:eastAsia="宋体" w:hAnsi="宋体" w:cs="宋体"/>
                <w:sz w:val="18"/>
                <w:szCs w:val="18"/>
              </w:rPr>
              <w:t>/</w:t>
            </w:r>
            <w:r w:rsidRPr="00F50B51">
              <w:rPr>
                <w:rFonts w:ascii="宋体" w:eastAsia="宋体" w:hAnsi="宋体" w:cs="宋体"/>
                <w:sz w:val="18"/>
                <w:szCs w:val="18"/>
              </w:rPr>
              <w:t>承包收益</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关联托管</w:t>
      </w:r>
      <w:r w:rsidRPr="00F50B51">
        <w:rPr>
          <w:rFonts w:ascii="宋体" w:eastAsia="宋体" w:hAnsi="宋体" w:cs="宋体"/>
          <w:sz w:val="18"/>
          <w:szCs w:val="18"/>
        </w:rPr>
        <w:t>/</w:t>
      </w:r>
      <w:r w:rsidRPr="00F50B51">
        <w:rPr>
          <w:rFonts w:ascii="宋体" w:eastAsia="宋体" w:hAnsi="宋体" w:cs="宋体"/>
          <w:sz w:val="18"/>
          <w:szCs w:val="18"/>
        </w:rPr>
        <w:t>承包情况说明</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本公司委托管理</w:t>
      </w:r>
      <w:r w:rsidRPr="00F50B51">
        <w:rPr>
          <w:rFonts w:ascii="宋体" w:eastAsia="宋体" w:hAnsi="宋体" w:cs="宋体"/>
          <w:sz w:val="18"/>
          <w:szCs w:val="18"/>
        </w:rPr>
        <w:t>/</w:t>
      </w:r>
      <w:r w:rsidRPr="00F50B51">
        <w:rPr>
          <w:rFonts w:ascii="宋体" w:eastAsia="宋体" w:hAnsi="宋体" w:cs="宋体"/>
          <w:sz w:val="18"/>
          <w:szCs w:val="18"/>
        </w:rPr>
        <w:t>出包情况表：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委托方</w:t>
            </w:r>
            <w:r w:rsidRPr="00F50B51">
              <w:rPr>
                <w:rFonts w:ascii="宋体" w:eastAsia="宋体" w:hAnsi="宋体" w:cs="宋体"/>
                <w:sz w:val="18"/>
                <w:szCs w:val="18"/>
              </w:rPr>
              <w:t>/</w:t>
            </w:r>
            <w:r w:rsidRPr="00F50B51">
              <w:rPr>
                <w:rFonts w:ascii="宋体" w:eastAsia="宋体" w:hAnsi="宋体" w:cs="宋体"/>
                <w:sz w:val="18"/>
                <w:szCs w:val="18"/>
              </w:rPr>
              <w:t>出包方名称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受托方</w:t>
            </w:r>
            <w:r w:rsidRPr="00F50B51">
              <w:rPr>
                <w:rFonts w:ascii="宋体" w:eastAsia="宋体" w:hAnsi="宋体" w:cs="宋体"/>
                <w:sz w:val="18"/>
                <w:szCs w:val="18"/>
              </w:rPr>
              <w:t>/</w:t>
            </w:r>
            <w:r w:rsidRPr="00F50B51">
              <w:rPr>
                <w:rFonts w:ascii="宋体" w:eastAsia="宋体" w:hAnsi="宋体" w:cs="宋体"/>
                <w:sz w:val="18"/>
                <w:szCs w:val="18"/>
              </w:rPr>
              <w:t>承包方名称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委托</w:t>
            </w:r>
            <w:r w:rsidRPr="00F50B51">
              <w:rPr>
                <w:rFonts w:ascii="宋体" w:eastAsia="宋体" w:hAnsi="宋体" w:cs="宋体"/>
                <w:sz w:val="18"/>
                <w:szCs w:val="18"/>
              </w:rPr>
              <w:t>/</w:t>
            </w:r>
            <w:r w:rsidRPr="00F50B51">
              <w:rPr>
                <w:rFonts w:ascii="宋体" w:eastAsia="宋体" w:hAnsi="宋体" w:cs="宋体"/>
                <w:sz w:val="18"/>
                <w:szCs w:val="18"/>
              </w:rPr>
              <w:t>出包资产类型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委托</w:t>
            </w:r>
            <w:r w:rsidRPr="00F50B51">
              <w:rPr>
                <w:rFonts w:ascii="宋体" w:eastAsia="宋体" w:hAnsi="宋体" w:cs="宋体"/>
                <w:sz w:val="18"/>
                <w:szCs w:val="18"/>
              </w:rPr>
              <w:t>/</w:t>
            </w:r>
            <w:r w:rsidRPr="00F50B51">
              <w:rPr>
                <w:rFonts w:ascii="宋体" w:eastAsia="宋体" w:hAnsi="宋体" w:cs="宋体"/>
                <w:sz w:val="18"/>
                <w:szCs w:val="18"/>
              </w:rPr>
              <w:t>出包起始日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委托</w:t>
            </w:r>
            <w:r w:rsidRPr="00F50B51">
              <w:rPr>
                <w:rFonts w:ascii="宋体" w:eastAsia="宋体" w:hAnsi="宋体" w:cs="宋体"/>
                <w:sz w:val="18"/>
                <w:szCs w:val="18"/>
              </w:rPr>
              <w:t>/</w:t>
            </w:r>
            <w:r w:rsidRPr="00F50B51">
              <w:rPr>
                <w:rFonts w:ascii="宋体" w:eastAsia="宋体" w:hAnsi="宋体" w:cs="宋体"/>
                <w:sz w:val="18"/>
                <w:szCs w:val="18"/>
              </w:rPr>
              <w:t>出包终止日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托管费</w:t>
            </w:r>
            <w:r w:rsidRPr="00F50B51">
              <w:rPr>
                <w:rFonts w:ascii="宋体" w:eastAsia="宋体" w:hAnsi="宋体" w:cs="宋体"/>
                <w:sz w:val="18"/>
                <w:szCs w:val="18"/>
              </w:rPr>
              <w:t>/</w:t>
            </w:r>
            <w:r w:rsidRPr="00F50B51">
              <w:rPr>
                <w:rFonts w:ascii="宋体" w:eastAsia="宋体" w:hAnsi="宋体" w:cs="宋体"/>
                <w:sz w:val="18"/>
                <w:szCs w:val="18"/>
              </w:rPr>
              <w:t>出包费定价依据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本期确认的托管费</w:t>
            </w:r>
            <w:r w:rsidRPr="00F50B51">
              <w:rPr>
                <w:rFonts w:ascii="宋体" w:eastAsia="宋体" w:hAnsi="宋体" w:cs="宋体"/>
                <w:sz w:val="18"/>
                <w:szCs w:val="18"/>
              </w:rPr>
              <w:t>/</w:t>
            </w:r>
            <w:r w:rsidRPr="00F50B51">
              <w:rPr>
                <w:rFonts w:ascii="宋体" w:eastAsia="宋体" w:hAnsi="宋体" w:cs="宋体"/>
                <w:sz w:val="18"/>
                <w:szCs w:val="18"/>
              </w:rPr>
              <w:t>出包费</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关联管理</w:t>
      </w:r>
      <w:r w:rsidRPr="00F50B51">
        <w:rPr>
          <w:rFonts w:ascii="宋体" w:eastAsia="宋体" w:hAnsi="宋体" w:cs="宋体"/>
          <w:sz w:val="18"/>
          <w:szCs w:val="18"/>
        </w:rPr>
        <w:t>/</w:t>
      </w:r>
      <w:r w:rsidRPr="00F50B51">
        <w:rPr>
          <w:rFonts w:ascii="宋体" w:eastAsia="宋体" w:hAnsi="宋体" w:cs="宋体"/>
          <w:sz w:val="18"/>
          <w:szCs w:val="18"/>
        </w:rPr>
        <w:t>出包情况说明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27" w:name="_Toc989315"/>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关联租赁情况</w:t>
      </w:r>
      <w:bookmarkEnd w:id="427"/>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本公司作为出租方：</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承租方名称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租赁资产种类</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本期确认的租赁收入</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上期确认的租赁收入</w:t>
            </w:r>
          </w:p>
        </w:tc>
      </w:tr>
    </w:tbl>
    <w:p w:rsidR="0058782B" w:rsidRPr="00F50B51" w:rsidRDefault="00F80EE7">
      <w:pPr>
        <w:spacing w:before="100" w:after="40" w:line="240" w:lineRule="exact"/>
        <w:rPr>
          <w:rFonts w:ascii="宋体" w:eastAsia="宋体" w:hAnsi="宋体" w:cs="宋体"/>
          <w:sz w:val="18"/>
          <w:szCs w:val="18"/>
        </w:rPr>
      </w:pPr>
      <w:r w:rsidRPr="00F50B51">
        <w:rPr>
          <w:rFonts w:ascii="宋体" w:eastAsia="宋体" w:hAnsi="宋体" w:cs="宋体"/>
          <w:sz w:val="18"/>
          <w:szCs w:val="18"/>
        </w:rPr>
        <w:t>本公司作为承租方：</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04"/>
        <w:gridCol w:w="804"/>
        <w:gridCol w:w="804"/>
        <w:gridCol w:w="803"/>
        <w:gridCol w:w="803"/>
        <w:gridCol w:w="803"/>
        <w:gridCol w:w="803"/>
        <w:gridCol w:w="803"/>
        <w:gridCol w:w="803"/>
        <w:gridCol w:w="803"/>
        <w:gridCol w:w="803"/>
        <w:gridCol w:w="803"/>
      </w:tblGrid>
      <w:tr w:rsidR="0058782B" w:rsidRPr="00F50B51">
        <w:trPr>
          <w:trHeight w:val="240"/>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出租方名称</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租赁资产种类</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简化处理的短期租赁和低价值资产租赁的租金费用（如适用）</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未纳入租赁负债计量的可变租赁付款额（如适用）</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支付的租金</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承担的租赁负债利息支出</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增加的使用权资产</w:t>
            </w:r>
          </w:p>
        </w:tc>
      </w:tr>
      <w:tr w:rsidR="0058782B" w:rsidRPr="00F50B51">
        <w:trPr>
          <w:trHeight w:val="240"/>
        </w:trPr>
        <w:tc>
          <w:tcPr>
            <w:tcW w:w="803" w:type="dxa"/>
            <w:vMerge/>
            <w:tcBorders>
              <w:top w:val="single" w:sz="2" w:space="0" w:color="auto"/>
              <w:left w:val="single" w:sz="2" w:space="0" w:color="auto"/>
              <w:bottom w:val="single" w:sz="2" w:space="0" w:color="auto"/>
              <w:right w:val="single" w:sz="2" w:space="0" w:color="auto"/>
            </w:tcBorders>
            <w:vAlign w:val="center"/>
          </w:tcPr>
          <w:p w:rsidR="0058782B" w:rsidRPr="00F50B51" w:rsidRDefault="0058782B"/>
        </w:tc>
        <w:tc>
          <w:tcPr>
            <w:tcW w:w="803" w:type="dxa"/>
            <w:vMerge/>
            <w:tcBorders>
              <w:top w:val="single" w:sz="2" w:space="0" w:color="auto"/>
              <w:left w:val="single" w:sz="2" w:space="0" w:color="auto"/>
              <w:bottom w:val="single" w:sz="2" w:space="0" w:color="auto"/>
              <w:right w:val="single" w:sz="2" w:space="0" w:color="auto"/>
            </w:tcBorders>
            <w:vAlign w:val="center"/>
          </w:tcPr>
          <w:p w:rsidR="0058782B" w:rsidRPr="00F50B51" w:rsidRDefault="0058782B"/>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关联租赁情况说明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28" w:name="_Toc989316"/>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关联担保情况</w:t>
      </w:r>
      <w:bookmarkEnd w:id="428"/>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本公司作为担保方</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被担保方</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担保起始日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担保到期日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担保是否已经履行完毕</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2019</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09</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08</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是</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06</w:t>
            </w:r>
            <w:r w:rsidRPr="00F50B51">
              <w:rPr>
                <w:rFonts w:ascii="宋体" w:eastAsia="宋体" w:hAnsi="宋体" w:cs="宋体"/>
                <w:sz w:val="18"/>
                <w:szCs w:val="18"/>
              </w:rPr>
              <w:t>月</w:t>
            </w:r>
            <w:r w:rsidRPr="00F50B51">
              <w:rPr>
                <w:rFonts w:ascii="宋体" w:eastAsia="宋体" w:hAnsi="宋体" w:cs="宋体"/>
                <w:sz w:val="18"/>
                <w:szCs w:val="18"/>
              </w:rPr>
              <w:t>22</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2023</w:t>
            </w:r>
            <w:r w:rsidRPr="00F50B51">
              <w:rPr>
                <w:rFonts w:ascii="宋体" w:eastAsia="宋体" w:hAnsi="宋体" w:cs="宋体"/>
                <w:sz w:val="18"/>
                <w:szCs w:val="18"/>
              </w:rPr>
              <w:t>年</w:t>
            </w:r>
            <w:r w:rsidRPr="00F50B51">
              <w:rPr>
                <w:rFonts w:ascii="宋体" w:eastAsia="宋体" w:hAnsi="宋体" w:cs="宋体"/>
                <w:sz w:val="18"/>
                <w:szCs w:val="18"/>
              </w:rPr>
              <w:t>06</w:t>
            </w:r>
            <w:r w:rsidRPr="00F50B51">
              <w:rPr>
                <w:rFonts w:ascii="宋体" w:eastAsia="宋体" w:hAnsi="宋体" w:cs="宋体"/>
                <w:sz w:val="18"/>
                <w:szCs w:val="18"/>
              </w:rPr>
              <w:t>月</w:t>
            </w:r>
            <w:r w:rsidRPr="00F50B51">
              <w:rPr>
                <w:rFonts w:ascii="宋体" w:eastAsia="宋体" w:hAnsi="宋体" w:cs="宋体"/>
                <w:sz w:val="18"/>
                <w:szCs w:val="18"/>
              </w:rPr>
              <w:t>21</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11</w:t>
            </w:r>
            <w:r w:rsidRPr="00F50B51">
              <w:rPr>
                <w:rFonts w:ascii="宋体" w:eastAsia="宋体" w:hAnsi="宋体" w:cs="宋体"/>
                <w:sz w:val="18"/>
                <w:szCs w:val="18"/>
              </w:rPr>
              <w:t>月</w:t>
            </w:r>
            <w:r w:rsidRPr="00F50B51">
              <w:rPr>
                <w:rFonts w:ascii="宋体" w:eastAsia="宋体" w:hAnsi="宋体" w:cs="宋体"/>
                <w:sz w:val="18"/>
                <w:szCs w:val="18"/>
              </w:rPr>
              <w:t>06</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2026</w:t>
            </w:r>
            <w:r w:rsidRPr="00F50B51">
              <w:rPr>
                <w:rFonts w:ascii="宋体" w:eastAsia="宋体" w:hAnsi="宋体" w:cs="宋体"/>
                <w:sz w:val="18"/>
                <w:szCs w:val="18"/>
              </w:rPr>
              <w:t>年</w:t>
            </w:r>
            <w:r w:rsidRPr="00F50B51">
              <w:rPr>
                <w:rFonts w:ascii="宋体" w:eastAsia="宋体" w:hAnsi="宋体" w:cs="宋体"/>
                <w:sz w:val="18"/>
                <w:szCs w:val="18"/>
              </w:rPr>
              <w:t>12</w:t>
            </w:r>
            <w:r w:rsidRPr="00F50B51">
              <w:rPr>
                <w:rFonts w:ascii="宋体" w:eastAsia="宋体" w:hAnsi="宋体" w:cs="宋体"/>
                <w:sz w:val="18"/>
                <w:szCs w:val="18"/>
              </w:rPr>
              <w:t>月</w:t>
            </w:r>
            <w:r w:rsidRPr="00F50B51">
              <w:rPr>
                <w:rFonts w:ascii="宋体" w:eastAsia="宋体" w:hAnsi="宋体" w:cs="宋体"/>
                <w:sz w:val="18"/>
                <w:szCs w:val="18"/>
              </w:rPr>
              <w:t>31</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18</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2024</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17</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16</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2025</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15</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03</w:t>
            </w:r>
            <w:r w:rsidRPr="00F50B51">
              <w:rPr>
                <w:rFonts w:ascii="宋体" w:eastAsia="宋体" w:hAnsi="宋体" w:cs="宋体"/>
                <w:sz w:val="18"/>
                <w:szCs w:val="18"/>
              </w:rPr>
              <w:t>月</w:t>
            </w:r>
            <w:r w:rsidRPr="00F50B51">
              <w:rPr>
                <w:rFonts w:ascii="宋体" w:eastAsia="宋体" w:hAnsi="宋体" w:cs="宋体"/>
                <w:sz w:val="18"/>
                <w:szCs w:val="18"/>
              </w:rPr>
              <w:t>23</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2023</w:t>
            </w:r>
            <w:r w:rsidRPr="00F50B51">
              <w:rPr>
                <w:rFonts w:ascii="宋体" w:eastAsia="宋体" w:hAnsi="宋体" w:cs="宋体"/>
                <w:sz w:val="18"/>
                <w:szCs w:val="18"/>
              </w:rPr>
              <w:t>年</w:t>
            </w:r>
            <w:r w:rsidRPr="00F50B51">
              <w:rPr>
                <w:rFonts w:ascii="宋体" w:eastAsia="宋体" w:hAnsi="宋体" w:cs="宋体"/>
                <w:sz w:val="18"/>
                <w:szCs w:val="18"/>
              </w:rPr>
              <w:t>03</w:t>
            </w:r>
            <w:r w:rsidRPr="00F50B51">
              <w:rPr>
                <w:rFonts w:ascii="宋体" w:eastAsia="宋体" w:hAnsi="宋体" w:cs="宋体"/>
                <w:sz w:val="18"/>
                <w:szCs w:val="18"/>
              </w:rPr>
              <w:t>月</w:t>
            </w:r>
            <w:r w:rsidRPr="00F50B51">
              <w:rPr>
                <w:rFonts w:ascii="宋体" w:eastAsia="宋体" w:hAnsi="宋体" w:cs="宋体"/>
                <w:sz w:val="18"/>
                <w:szCs w:val="18"/>
              </w:rPr>
              <w:t>22</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bl>
    <w:p w:rsidR="0058782B" w:rsidRPr="00F50B51" w:rsidRDefault="00F80EE7">
      <w:pPr>
        <w:spacing w:before="100" w:after="40" w:line="240" w:lineRule="exact"/>
        <w:rPr>
          <w:rFonts w:ascii="宋体" w:eastAsia="宋体" w:hAnsi="宋体" w:cs="宋体"/>
          <w:sz w:val="18"/>
          <w:szCs w:val="18"/>
        </w:rPr>
      </w:pPr>
      <w:r w:rsidRPr="00F50B51">
        <w:rPr>
          <w:rFonts w:ascii="宋体" w:eastAsia="宋体" w:hAnsi="宋体" w:cs="宋体"/>
          <w:sz w:val="18"/>
          <w:szCs w:val="18"/>
        </w:rPr>
        <w:t>本公司作为被担保方</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担保方</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担保起始日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担保到期日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担保是否已经履行完毕</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215,000,000.00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2017</w:t>
            </w:r>
            <w:r w:rsidRPr="00F50B51">
              <w:rPr>
                <w:rFonts w:ascii="宋体" w:eastAsia="宋体" w:hAnsi="宋体" w:cs="宋体"/>
                <w:sz w:val="18"/>
                <w:szCs w:val="18"/>
              </w:rPr>
              <w:t>年</w:t>
            </w:r>
            <w:r w:rsidRPr="00F50B51">
              <w:rPr>
                <w:rFonts w:ascii="宋体" w:eastAsia="宋体" w:hAnsi="宋体" w:cs="宋体"/>
                <w:sz w:val="18"/>
                <w:szCs w:val="18"/>
              </w:rPr>
              <w:t>12</w:t>
            </w:r>
            <w:r w:rsidRPr="00F50B51">
              <w:rPr>
                <w:rFonts w:ascii="宋体" w:eastAsia="宋体" w:hAnsi="宋体" w:cs="宋体"/>
                <w:sz w:val="18"/>
                <w:szCs w:val="18"/>
              </w:rPr>
              <w:t>月</w:t>
            </w:r>
            <w:r w:rsidRPr="00F50B51">
              <w:rPr>
                <w:rFonts w:ascii="宋体" w:eastAsia="宋体" w:hAnsi="宋体" w:cs="宋体"/>
                <w:sz w:val="18"/>
                <w:szCs w:val="18"/>
              </w:rPr>
              <w:t>22</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12</w:t>
            </w:r>
            <w:r w:rsidRPr="00F50B51">
              <w:rPr>
                <w:rFonts w:ascii="宋体" w:eastAsia="宋体" w:hAnsi="宋体" w:cs="宋体"/>
                <w:sz w:val="18"/>
                <w:szCs w:val="18"/>
              </w:rPr>
              <w:t>月</w:t>
            </w:r>
            <w:r w:rsidRPr="00F50B51">
              <w:rPr>
                <w:rFonts w:ascii="宋体" w:eastAsia="宋体" w:hAnsi="宋体" w:cs="宋体"/>
                <w:sz w:val="18"/>
                <w:szCs w:val="18"/>
              </w:rPr>
              <w:t>22</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2019</w:t>
            </w:r>
            <w:r w:rsidRPr="00F50B51">
              <w:rPr>
                <w:rFonts w:ascii="宋体" w:eastAsia="宋体" w:hAnsi="宋体" w:cs="宋体"/>
                <w:sz w:val="18"/>
                <w:szCs w:val="18"/>
              </w:rPr>
              <w:t>年</w:t>
            </w:r>
            <w:r w:rsidRPr="00F50B51">
              <w:rPr>
                <w:rFonts w:ascii="宋体" w:eastAsia="宋体" w:hAnsi="宋体" w:cs="宋体"/>
                <w:sz w:val="18"/>
                <w:szCs w:val="18"/>
              </w:rPr>
              <w:t>04</w:t>
            </w:r>
            <w:r w:rsidRPr="00F50B51">
              <w:rPr>
                <w:rFonts w:ascii="宋体" w:eastAsia="宋体" w:hAnsi="宋体" w:cs="宋体"/>
                <w:sz w:val="18"/>
                <w:szCs w:val="18"/>
              </w:rPr>
              <w:t>月</w:t>
            </w:r>
            <w:r w:rsidRPr="00F50B51">
              <w:rPr>
                <w:rFonts w:ascii="宋体" w:eastAsia="宋体" w:hAnsi="宋体" w:cs="宋体"/>
                <w:sz w:val="18"/>
                <w:szCs w:val="18"/>
              </w:rPr>
              <w:t>25</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04</w:t>
            </w:r>
            <w:r w:rsidRPr="00F50B51">
              <w:rPr>
                <w:rFonts w:ascii="宋体" w:eastAsia="宋体" w:hAnsi="宋体" w:cs="宋体"/>
                <w:sz w:val="18"/>
                <w:szCs w:val="18"/>
              </w:rPr>
              <w:t>月</w:t>
            </w:r>
            <w:r w:rsidRPr="00F50B51">
              <w:rPr>
                <w:rFonts w:ascii="宋体" w:eastAsia="宋体" w:hAnsi="宋体" w:cs="宋体"/>
                <w:sz w:val="18"/>
                <w:szCs w:val="18"/>
              </w:rPr>
              <w:t>24</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是</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2019</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23</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20</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是</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2019</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09</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09</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是</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2019</w:t>
            </w:r>
            <w:r w:rsidRPr="00F50B51">
              <w:rPr>
                <w:rFonts w:ascii="宋体" w:eastAsia="宋体" w:hAnsi="宋体" w:cs="宋体"/>
                <w:sz w:val="18"/>
                <w:szCs w:val="18"/>
              </w:rPr>
              <w:t>年</w:t>
            </w:r>
            <w:r w:rsidRPr="00F50B51">
              <w:rPr>
                <w:rFonts w:ascii="宋体" w:eastAsia="宋体" w:hAnsi="宋体" w:cs="宋体"/>
                <w:sz w:val="18"/>
                <w:szCs w:val="18"/>
              </w:rPr>
              <w:t>06</w:t>
            </w:r>
            <w:r w:rsidRPr="00F50B51">
              <w:rPr>
                <w:rFonts w:ascii="宋体" w:eastAsia="宋体" w:hAnsi="宋体" w:cs="宋体"/>
                <w:sz w:val="18"/>
                <w:szCs w:val="18"/>
              </w:rPr>
              <w:t>月</w:t>
            </w:r>
            <w:r w:rsidRPr="00F50B51">
              <w:rPr>
                <w:rFonts w:ascii="宋体" w:eastAsia="宋体" w:hAnsi="宋体" w:cs="宋体"/>
                <w:sz w:val="18"/>
                <w:szCs w:val="18"/>
              </w:rPr>
              <w:t>14</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2023</w:t>
            </w:r>
            <w:r w:rsidRPr="00F50B51">
              <w:rPr>
                <w:rFonts w:ascii="宋体" w:eastAsia="宋体" w:hAnsi="宋体" w:cs="宋体"/>
                <w:sz w:val="18"/>
                <w:szCs w:val="18"/>
              </w:rPr>
              <w:t>年</w:t>
            </w:r>
            <w:r w:rsidRPr="00F50B51">
              <w:rPr>
                <w:rFonts w:ascii="宋体" w:eastAsia="宋体" w:hAnsi="宋体" w:cs="宋体"/>
                <w:sz w:val="18"/>
                <w:szCs w:val="18"/>
              </w:rPr>
              <w:t>06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2019</w:t>
            </w:r>
            <w:r w:rsidRPr="00F50B51">
              <w:rPr>
                <w:rFonts w:ascii="宋体" w:eastAsia="宋体" w:hAnsi="宋体" w:cs="宋体"/>
                <w:sz w:val="18"/>
                <w:szCs w:val="18"/>
              </w:rPr>
              <w:t>年</w:t>
            </w:r>
            <w:r w:rsidRPr="00F50B51">
              <w:rPr>
                <w:rFonts w:ascii="宋体" w:eastAsia="宋体" w:hAnsi="宋体" w:cs="宋体"/>
                <w:sz w:val="18"/>
                <w:szCs w:val="18"/>
              </w:rPr>
              <w:t>08</w:t>
            </w:r>
            <w:r w:rsidRPr="00F50B51">
              <w:rPr>
                <w:rFonts w:ascii="宋体" w:eastAsia="宋体" w:hAnsi="宋体" w:cs="宋体"/>
                <w:sz w:val="18"/>
                <w:szCs w:val="18"/>
              </w:rPr>
              <w:t>月</w:t>
            </w:r>
            <w:r w:rsidRPr="00F50B51">
              <w:rPr>
                <w:rFonts w:ascii="宋体" w:eastAsia="宋体" w:hAnsi="宋体" w:cs="宋体"/>
                <w:sz w:val="18"/>
                <w:szCs w:val="18"/>
              </w:rPr>
              <w:t>23</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08</w:t>
            </w:r>
            <w:r w:rsidRPr="00F50B51">
              <w:rPr>
                <w:rFonts w:ascii="宋体" w:eastAsia="宋体" w:hAnsi="宋体" w:cs="宋体"/>
                <w:sz w:val="18"/>
                <w:szCs w:val="18"/>
              </w:rPr>
              <w:t>月</w:t>
            </w:r>
            <w:r w:rsidRPr="00F50B51">
              <w:rPr>
                <w:rFonts w:ascii="宋体" w:eastAsia="宋体" w:hAnsi="宋体" w:cs="宋体"/>
                <w:sz w:val="18"/>
                <w:szCs w:val="18"/>
              </w:rPr>
              <w:t>19</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2018</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21</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2023</w:t>
            </w:r>
            <w:r w:rsidRPr="00F50B51">
              <w:rPr>
                <w:rFonts w:ascii="宋体" w:eastAsia="宋体" w:hAnsi="宋体" w:cs="宋体"/>
                <w:sz w:val="18"/>
                <w:szCs w:val="18"/>
              </w:rPr>
              <w:t>年</w:t>
            </w:r>
            <w:r w:rsidRPr="00F50B51">
              <w:rPr>
                <w:rFonts w:ascii="宋体" w:eastAsia="宋体" w:hAnsi="宋体" w:cs="宋体"/>
                <w:sz w:val="18"/>
                <w:szCs w:val="18"/>
              </w:rPr>
              <w:t>12</w:t>
            </w:r>
            <w:r w:rsidRPr="00F50B51">
              <w:rPr>
                <w:rFonts w:ascii="宋体" w:eastAsia="宋体" w:hAnsi="宋体" w:cs="宋体"/>
                <w:sz w:val="18"/>
                <w:szCs w:val="18"/>
              </w:rPr>
              <w:t>月</w:t>
            </w:r>
            <w:r w:rsidRPr="00F50B51">
              <w:rPr>
                <w:rFonts w:ascii="宋体" w:eastAsia="宋体" w:hAnsi="宋体" w:cs="宋体"/>
                <w:sz w:val="18"/>
                <w:szCs w:val="18"/>
              </w:rPr>
              <w:t>31</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11</w:t>
            </w:r>
            <w:r w:rsidRPr="00F50B51">
              <w:rPr>
                <w:rFonts w:ascii="宋体" w:eastAsia="宋体" w:hAnsi="宋体" w:cs="宋体"/>
                <w:sz w:val="18"/>
                <w:szCs w:val="18"/>
              </w:rPr>
              <w:t>月</w:t>
            </w:r>
            <w:r w:rsidRPr="00F50B51">
              <w:rPr>
                <w:rFonts w:ascii="宋体" w:eastAsia="宋体" w:hAnsi="宋体" w:cs="宋体"/>
                <w:sz w:val="18"/>
                <w:szCs w:val="18"/>
              </w:rPr>
              <w:t>06</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2026</w:t>
            </w:r>
            <w:r w:rsidRPr="00F50B51">
              <w:rPr>
                <w:rFonts w:ascii="宋体" w:eastAsia="宋体" w:hAnsi="宋体" w:cs="宋体"/>
                <w:sz w:val="18"/>
                <w:szCs w:val="18"/>
              </w:rPr>
              <w:t>年</w:t>
            </w:r>
            <w:r w:rsidRPr="00F50B51">
              <w:rPr>
                <w:rFonts w:ascii="宋体" w:eastAsia="宋体" w:hAnsi="宋体" w:cs="宋体"/>
                <w:sz w:val="18"/>
                <w:szCs w:val="18"/>
              </w:rPr>
              <w:t>12</w:t>
            </w:r>
            <w:r w:rsidRPr="00F50B51">
              <w:rPr>
                <w:rFonts w:ascii="宋体" w:eastAsia="宋体" w:hAnsi="宋体" w:cs="宋体"/>
                <w:sz w:val="18"/>
                <w:szCs w:val="18"/>
              </w:rPr>
              <w:t>月</w:t>
            </w:r>
            <w:r w:rsidRPr="00F50B51">
              <w:rPr>
                <w:rFonts w:ascii="宋体" w:eastAsia="宋体" w:hAnsi="宋体" w:cs="宋体"/>
                <w:sz w:val="18"/>
                <w:szCs w:val="18"/>
              </w:rPr>
              <w:t>31</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07</w:t>
            </w:r>
            <w:r w:rsidRPr="00F50B51">
              <w:rPr>
                <w:rFonts w:ascii="宋体" w:eastAsia="宋体" w:hAnsi="宋体" w:cs="宋体"/>
                <w:sz w:val="18"/>
                <w:szCs w:val="18"/>
              </w:rPr>
              <w:t>月</w:t>
            </w:r>
            <w:r w:rsidRPr="00F50B51">
              <w:rPr>
                <w:rFonts w:ascii="宋体" w:eastAsia="宋体" w:hAnsi="宋体" w:cs="宋体"/>
                <w:sz w:val="18"/>
                <w:szCs w:val="18"/>
              </w:rPr>
              <w:t>24</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2024</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18</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07</w:t>
            </w:r>
            <w:r w:rsidRPr="00F50B51">
              <w:rPr>
                <w:rFonts w:ascii="宋体" w:eastAsia="宋体" w:hAnsi="宋体" w:cs="宋体"/>
                <w:sz w:val="18"/>
                <w:szCs w:val="18"/>
              </w:rPr>
              <w:t>月</w:t>
            </w:r>
            <w:r w:rsidRPr="00F50B51">
              <w:rPr>
                <w:rFonts w:ascii="宋体" w:eastAsia="宋体" w:hAnsi="宋体" w:cs="宋体"/>
                <w:sz w:val="18"/>
                <w:szCs w:val="18"/>
              </w:rPr>
              <w:t>03</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2023</w:t>
            </w:r>
            <w:r w:rsidRPr="00F50B51">
              <w:rPr>
                <w:rFonts w:ascii="宋体" w:eastAsia="宋体" w:hAnsi="宋体" w:cs="宋体"/>
                <w:sz w:val="18"/>
                <w:szCs w:val="18"/>
              </w:rPr>
              <w:t>年</w:t>
            </w:r>
            <w:r w:rsidRPr="00F50B51">
              <w:rPr>
                <w:rFonts w:ascii="宋体" w:eastAsia="宋体" w:hAnsi="宋体" w:cs="宋体"/>
                <w:sz w:val="18"/>
                <w:szCs w:val="18"/>
              </w:rPr>
              <w:t>06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29</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2024</w:t>
            </w:r>
            <w:r w:rsidRPr="00F50B51">
              <w:rPr>
                <w:rFonts w:ascii="宋体" w:eastAsia="宋体" w:hAnsi="宋体" w:cs="宋体"/>
                <w:sz w:val="18"/>
                <w:szCs w:val="18"/>
              </w:rPr>
              <w:t>年</w:t>
            </w:r>
            <w:r w:rsidRPr="00F50B51">
              <w:rPr>
                <w:rFonts w:ascii="宋体" w:eastAsia="宋体" w:hAnsi="宋体" w:cs="宋体"/>
                <w:sz w:val="18"/>
                <w:szCs w:val="18"/>
              </w:rPr>
              <w:t>05</w:t>
            </w:r>
            <w:r w:rsidRPr="00F50B51">
              <w:rPr>
                <w:rFonts w:ascii="宋体" w:eastAsia="宋体" w:hAnsi="宋体" w:cs="宋体"/>
                <w:sz w:val="18"/>
                <w:szCs w:val="18"/>
              </w:rPr>
              <w:t>月</w:t>
            </w:r>
            <w:r w:rsidRPr="00F50B51">
              <w:rPr>
                <w:rFonts w:ascii="宋体" w:eastAsia="宋体" w:hAnsi="宋体" w:cs="宋体"/>
                <w:sz w:val="18"/>
                <w:szCs w:val="18"/>
              </w:rPr>
              <w:t>28</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11</w:t>
            </w:r>
            <w:r w:rsidRPr="00F50B51">
              <w:rPr>
                <w:rFonts w:ascii="宋体" w:eastAsia="宋体" w:hAnsi="宋体" w:cs="宋体"/>
                <w:sz w:val="18"/>
                <w:szCs w:val="18"/>
              </w:rPr>
              <w:t>月</w:t>
            </w:r>
            <w:r w:rsidRPr="00F50B51">
              <w:rPr>
                <w:rFonts w:ascii="宋体" w:eastAsia="宋体" w:hAnsi="宋体" w:cs="宋体"/>
                <w:sz w:val="18"/>
                <w:szCs w:val="18"/>
              </w:rPr>
              <w:t>28</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2025</w:t>
            </w:r>
            <w:r w:rsidRPr="00F50B51">
              <w:rPr>
                <w:rFonts w:ascii="宋体" w:eastAsia="宋体" w:hAnsi="宋体" w:cs="宋体"/>
                <w:sz w:val="18"/>
                <w:szCs w:val="18"/>
              </w:rPr>
              <w:t>年</w:t>
            </w:r>
            <w:r w:rsidRPr="00F50B51">
              <w:rPr>
                <w:rFonts w:ascii="宋体" w:eastAsia="宋体" w:hAnsi="宋体" w:cs="宋体"/>
                <w:sz w:val="18"/>
                <w:szCs w:val="18"/>
              </w:rPr>
              <w:t>11</w:t>
            </w:r>
            <w:r w:rsidRPr="00F50B51">
              <w:rPr>
                <w:rFonts w:ascii="宋体" w:eastAsia="宋体" w:hAnsi="宋体" w:cs="宋体"/>
                <w:sz w:val="18"/>
                <w:szCs w:val="18"/>
              </w:rPr>
              <w:t>月</w:t>
            </w:r>
            <w:r w:rsidRPr="00F50B51">
              <w:rPr>
                <w:rFonts w:ascii="宋体" w:eastAsia="宋体" w:hAnsi="宋体" w:cs="宋体"/>
                <w:sz w:val="18"/>
                <w:szCs w:val="18"/>
              </w:rPr>
              <w:t>28</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2020</w:t>
            </w:r>
            <w:r w:rsidRPr="00F50B51">
              <w:rPr>
                <w:rFonts w:ascii="宋体" w:eastAsia="宋体" w:hAnsi="宋体" w:cs="宋体"/>
                <w:sz w:val="18"/>
                <w:szCs w:val="18"/>
              </w:rPr>
              <w:t>年</w:t>
            </w:r>
            <w:r w:rsidRPr="00F50B51">
              <w:rPr>
                <w:rFonts w:ascii="宋体" w:eastAsia="宋体" w:hAnsi="宋体" w:cs="宋体"/>
                <w:sz w:val="18"/>
                <w:szCs w:val="18"/>
              </w:rPr>
              <w:t>08</w:t>
            </w:r>
            <w:r w:rsidRPr="00F50B51">
              <w:rPr>
                <w:rFonts w:ascii="宋体" w:eastAsia="宋体" w:hAnsi="宋体" w:cs="宋体"/>
                <w:sz w:val="18"/>
                <w:szCs w:val="18"/>
              </w:rPr>
              <w:t>月</w:t>
            </w:r>
            <w:r w:rsidRPr="00F50B51">
              <w:rPr>
                <w:rFonts w:ascii="宋体" w:eastAsia="宋体" w:hAnsi="宋体" w:cs="宋体"/>
                <w:sz w:val="18"/>
                <w:szCs w:val="18"/>
              </w:rPr>
              <w:t>15</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2023</w:t>
            </w:r>
            <w:r w:rsidRPr="00F50B51">
              <w:rPr>
                <w:rFonts w:ascii="宋体" w:eastAsia="宋体" w:hAnsi="宋体" w:cs="宋体"/>
                <w:sz w:val="18"/>
                <w:szCs w:val="18"/>
              </w:rPr>
              <w:t>年</w:t>
            </w:r>
            <w:r w:rsidRPr="00F50B51">
              <w:rPr>
                <w:rFonts w:ascii="宋体" w:eastAsia="宋体" w:hAnsi="宋体" w:cs="宋体"/>
                <w:sz w:val="18"/>
                <w:szCs w:val="18"/>
              </w:rPr>
              <w:t>06</w:t>
            </w:r>
            <w:r w:rsidRPr="00F50B51">
              <w:rPr>
                <w:rFonts w:ascii="宋体" w:eastAsia="宋体" w:hAnsi="宋体" w:cs="宋体"/>
                <w:sz w:val="18"/>
                <w:szCs w:val="18"/>
              </w:rPr>
              <w:t>月</w:t>
            </w:r>
            <w:r w:rsidRPr="00F50B51">
              <w:rPr>
                <w:rFonts w:ascii="宋体" w:eastAsia="宋体" w:hAnsi="宋体" w:cs="宋体"/>
                <w:sz w:val="18"/>
                <w:szCs w:val="18"/>
              </w:rPr>
              <w:t>25</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w:t>
            </w:r>
            <w:r w:rsidRPr="00F50B51">
              <w:rPr>
                <w:rFonts w:ascii="宋体" w:eastAsia="宋体" w:hAnsi="宋体" w:cs="宋体"/>
                <w:sz w:val="18"/>
                <w:szCs w:val="18"/>
              </w:rPr>
              <w:t>07</w:t>
            </w:r>
            <w:r w:rsidRPr="00F50B51">
              <w:rPr>
                <w:rFonts w:ascii="宋体" w:eastAsia="宋体" w:hAnsi="宋体" w:cs="宋体"/>
                <w:sz w:val="18"/>
                <w:szCs w:val="18"/>
              </w:rPr>
              <w:t>月</w:t>
            </w:r>
            <w:r w:rsidRPr="00F50B51">
              <w:rPr>
                <w:rFonts w:ascii="宋体" w:eastAsia="宋体" w:hAnsi="宋体" w:cs="宋体"/>
                <w:sz w:val="18"/>
                <w:szCs w:val="18"/>
              </w:rPr>
              <w:t>20</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07</w:t>
            </w:r>
            <w:r w:rsidRPr="00F50B51">
              <w:rPr>
                <w:rFonts w:ascii="宋体" w:eastAsia="宋体" w:hAnsi="宋体" w:cs="宋体"/>
                <w:sz w:val="18"/>
                <w:szCs w:val="18"/>
              </w:rPr>
              <w:t>月</w:t>
            </w:r>
            <w:r w:rsidRPr="00F50B51">
              <w:rPr>
                <w:rFonts w:ascii="宋体" w:eastAsia="宋体" w:hAnsi="宋体" w:cs="宋体"/>
                <w:sz w:val="18"/>
                <w:szCs w:val="18"/>
              </w:rPr>
              <w:t>11</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156,000,000.00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18</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2024</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17</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25</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2024</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24</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2021</w:t>
            </w:r>
            <w:r w:rsidRPr="00F50B51">
              <w:rPr>
                <w:rFonts w:ascii="宋体" w:eastAsia="宋体" w:hAnsi="宋体" w:cs="宋体"/>
                <w:sz w:val="18"/>
                <w:szCs w:val="18"/>
              </w:rPr>
              <w:t>年</w:t>
            </w:r>
            <w:r w:rsidRPr="00F50B51">
              <w:rPr>
                <w:rFonts w:ascii="宋体" w:eastAsia="宋体" w:hAnsi="宋体" w:cs="宋体"/>
                <w:sz w:val="18"/>
                <w:szCs w:val="18"/>
              </w:rPr>
              <w:t>08</w:t>
            </w:r>
            <w:r w:rsidRPr="00F50B51">
              <w:rPr>
                <w:rFonts w:ascii="宋体" w:eastAsia="宋体" w:hAnsi="宋体" w:cs="宋体"/>
                <w:sz w:val="18"/>
                <w:szCs w:val="18"/>
              </w:rPr>
              <w:t>月</w:t>
            </w:r>
            <w:r w:rsidRPr="00F50B51">
              <w:rPr>
                <w:rFonts w:ascii="宋体" w:eastAsia="宋体" w:hAnsi="宋体" w:cs="宋体"/>
                <w:sz w:val="18"/>
                <w:szCs w:val="18"/>
              </w:rPr>
              <w:t>02</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2024</w:t>
            </w:r>
            <w:r w:rsidRPr="00F50B51">
              <w:rPr>
                <w:rFonts w:ascii="宋体" w:eastAsia="宋体" w:hAnsi="宋体" w:cs="宋体"/>
                <w:sz w:val="18"/>
                <w:szCs w:val="18"/>
              </w:rPr>
              <w:t>年</w:t>
            </w:r>
            <w:r w:rsidRPr="00F50B51">
              <w:rPr>
                <w:rFonts w:ascii="宋体" w:eastAsia="宋体" w:hAnsi="宋体" w:cs="宋体"/>
                <w:sz w:val="18"/>
                <w:szCs w:val="18"/>
              </w:rPr>
              <w:t>07</w:t>
            </w:r>
            <w:r w:rsidRPr="00F50B51">
              <w:rPr>
                <w:rFonts w:ascii="宋体" w:eastAsia="宋体" w:hAnsi="宋体" w:cs="宋体"/>
                <w:sz w:val="18"/>
                <w:szCs w:val="18"/>
              </w:rPr>
              <w:t>月</w:t>
            </w:r>
            <w:r w:rsidRPr="00F50B51">
              <w:rPr>
                <w:rFonts w:ascii="宋体" w:eastAsia="宋体" w:hAnsi="宋体" w:cs="宋体"/>
                <w:sz w:val="18"/>
                <w:szCs w:val="18"/>
              </w:rPr>
              <w:t>25</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01</w:t>
            </w:r>
            <w:r w:rsidRPr="00F50B51">
              <w:rPr>
                <w:rFonts w:ascii="宋体" w:eastAsia="宋体" w:hAnsi="宋体" w:cs="宋体"/>
                <w:sz w:val="18"/>
                <w:szCs w:val="18"/>
              </w:rPr>
              <w:t>月</w:t>
            </w:r>
            <w:r w:rsidRPr="00F50B51">
              <w:rPr>
                <w:rFonts w:ascii="宋体" w:eastAsia="宋体" w:hAnsi="宋体" w:cs="宋体"/>
                <w:sz w:val="18"/>
                <w:szCs w:val="18"/>
              </w:rPr>
              <w:t>11</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2026</w:t>
            </w:r>
            <w:r w:rsidRPr="00F50B51">
              <w:rPr>
                <w:rFonts w:ascii="宋体" w:eastAsia="宋体" w:hAnsi="宋体" w:cs="宋体"/>
                <w:sz w:val="18"/>
                <w:szCs w:val="18"/>
              </w:rPr>
              <w:t>年</w:t>
            </w:r>
            <w:r w:rsidRPr="00F50B51">
              <w:rPr>
                <w:rFonts w:ascii="宋体" w:eastAsia="宋体" w:hAnsi="宋体" w:cs="宋体"/>
                <w:sz w:val="18"/>
                <w:szCs w:val="18"/>
              </w:rPr>
              <w:t>12</w:t>
            </w:r>
            <w:r w:rsidRPr="00F50B51">
              <w:rPr>
                <w:rFonts w:ascii="宋体" w:eastAsia="宋体" w:hAnsi="宋体" w:cs="宋体"/>
                <w:sz w:val="18"/>
                <w:szCs w:val="18"/>
              </w:rPr>
              <w:t>月</w:t>
            </w:r>
            <w:r w:rsidRPr="00F50B51">
              <w:rPr>
                <w:rFonts w:ascii="宋体" w:eastAsia="宋体" w:hAnsi="宋体" w:cs="宋体"/>
                <w:sz w:val="18"/>
                <w:szCs w:val="18"/>
              </w:rPr>
              <w:t>28</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陈启丰、陈宏音</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50,000,000.00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03</w:t>
            </w:r>
            <w:r w:rsidRPr="00F50B51">
              <w:rPr>
                <w:rFonts w:ascii="宋体" w:eastAsia="宋体" w:hAnsi="宋体" w:cs="宋体"/>
                <w:sz w:val="18"/>
                <w:szCs w:val="18"/>
              </w:rPr>
              <w:t>月</w:t>
            </w:r>
            <w:r w:rsidRPr="00F50B51">
              <w:rPr>
                <w:rFonts w:ascii="宋体" w:eastAsia="宋体" w:hAnsi="宋体" w:cs="宋体"/>
                <w:sz w:val="18"/>
                <w:szCs w:val="18"/>
              </w:rPr>
              <w:t>23</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2026</w:t>
            </w:r>
            <w:r w:rsidRPr="00F50B51">
              <w:rPr>
                <w:rFonts w:ascii="宋体" w:eastAsia="宋体" w:hAnsi="宋体" w:cs="宋体"/>
                <w:sz w:val="18"/>
                <w:szCs w:val="18"/>
              </w:rPr>
              <w:t>年</w:t>
            </w:r>
            <w:r w:rsidRPr="00F50B51">
              <w:rPr>
                <w:rFonts w:ascii="宋体" w:eastAsia="宋体" w:hAnsi="宋体" w:cs="宋体"/>
                <w:sz w:val="18"/>
                <w:szCs w:val="18"/>
              </w:rPr>
              <w:t>03</w:t>
            </w:r>
            <w:r w:rsidRPr="00F50B51">
              <w:rPr>
                <w:rFonts w:ascii="宋体" w:eastAsia="宋体" w:hAnsi="宋体" w:cs="宋体"/>
                <w:sz w:val="18"/>
                <w:szCs w:val="18"/>
              </w:rPr>
              <w:t>月</w:t>
            </w:r>
            <w:r w:rsidRPr="00F50B51">
              <w:rPr>
                <w:rFonts w:ascii="宋体" w:eastAsia="宋体" w:hAnsi="宋体" w:cs="宋体"/>
                <w:sz w:val="18"/>
                <w:szCs w:val="18"/>
              </w:rPr>
              <w:t>22</w:t>
            </w:r>
            <w:r w:rsidRPr="00F50B51">
              <w:rPr>
                <w:rFonts w:ascii="宋体" w:eastAsia="宋体" w:hAnsi="宋体" w:cs="宋体"/>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否</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关联担保情况说明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29" w:name="_Toc989317"/>
      <w:r w:rsidRPr="00F50B51">
        <w:rPr>
          <w:rFonts w:ascii="宋体" w:eastAsia="宋体" w:hAnsi="宋体" w:cs="宋体"/>
          <w:b/>
          <w:bCs/>
          <w:szCs w:val="21"/>
        </w:rPr>
        <w:t>（</w:t>
      </w:r>
      <w:r w:rsidRPr="00F50B51">
        <w:rPr>
          <w:rFonts w:ascii="宋体" w:eastAsia="宋体" w:hAnsi="宋体" w:cs="宋体"/>
          <w:b/>
          <w:bCs/>
          <w:szCs w:val="21"/>
        </w:rPr>
        <w:t>5</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关联方资金拆借</w:t>
      </w:r>
      <w:bookmarkEnd w:id="42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关联方</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拆借金额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起始日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到期日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说明</w:t>
            </w:r>
          </w:p>
        </w:tc>
      </w:tr>
      <w:tr w:rsidR="0058782B" w:rsidRPr="00F50B51">
        <w:trPr>
          <w:trHeight w:val="240"/>
        </w:trPr>
        <w:tc>
          <w:tcPr>
            <w:tcW w:w="963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拆入</w:t>
            </w:r>
          </w:p>
        </w:tc>
      </w:tr>
      <w:tr w:rsidR="0058782B" w:rsidRPr="00F50B51">
        <w:trPr>
          <w:trHeight w:val="240"/>
        </w:trPr>
        <w:tc>
          <w:tcPr>
            <w:tcW w:w="963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拆出</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430" w:name="_Toc989318"/>
      <w:r w:rsidRPr="00F50B51">
        <w:rPr>
          <w:rFonts w:ascii="宋体" w:eastAsia="宋体" w:hAnsi="宋体" w:cs="宋体"/>
          <w:b/>
          <w:bCs/>
          <w:szCs w:val="21"/>
        </w:rPr>
        <w:t>（</w:t>
      </w:r>
      <w:r w:rsidRPr="00F50B51">
        <w:rPr>
          <w:rFonts w:ascii="宋体" w:eastAsia="宋体" w:hAnsi="宋体" w:cs="宋体"/>
          <w:b/>
          <w:bCs/>
          <w:szCs w:val="21"/>
        </w:rPr>
        <w:t>6</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关联方资产转让、债务重组情况</w:t>
      </w:r>
      <w:bookmarkEnd w:id="43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关联交易内容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431" w:name="_Toc989319"/>
      <w:r w:rsidRPr="00F50B51">
        <w:rPr>
          <w:rFonts w:ascii="宋体" w:eastAsia="宋体" w:hAnsi="宋体" w:cs="宋体"/>
          <w:b/>
          <w:bCs/>
          <w:szCs w:val="21"/>
        </w:rPr>
        <w:t>（</w:t>
      </w:r>
      <w:r w:rsidRPr="00F50B51">
        <w:rPr>
          <w:rFonts w:ascii="宋体" w:eastAsia="宋体" w:hAnsi="宋体" w:cs="宋体"/>
          <w:b/>
          <w:bCs/>
          <w:szCs w:val="21"/>
        </w:rPr>
        <w:t>7</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关键管理人员报酬</w:t>
      </w:r>
      <w:bookmarkEnd w:id="43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关键管理人员报酬</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1,080,952.00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1,118,793.00</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432" w:name="_Toc989320"/>
      <w:r w:rsidRPr="00F50B51">
        <w:rPr>
          <w:rFonts w:ascii="宋体" w:eastAsia="宋体" w:hAnsi="宋体" w:cs="宋体"/>
          <w:b/>
          <w:bCs/>
          <w:szCs w:val="21"/>
        </w:rPr>
        <w:t>（</w:t>
      </w:r>
      <w:r w:rsidRPr="00F50B51">
        <w:rPr>
          <w:rFonts w:ascii="宋体" w:eastAsia="宋体" w:hAnsi="宋体" w:cs="宋体"/>
          <w:b/>
          <w:bCs/>
          <w:szCs w:val="21"/>
        </w:rPr>
        <w:t>8</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其他关联交易</w:t>
      </w:r>
      <w:bookmarkEnd w:id="432"/>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33" w:name="_Toc989321"/>
      <w:r w:rsidRPr="00F50B51">
        <w:rPr>
          <w:rFonts w:ascii="宋体" w:hAnsi="宋体" w:cs="宋体"/>
          <w:b/>
          <w:bCs/>
        </w:rPr>
        <w:t>6</w:t>
      </w:r>
      <w:r w:rsidRPr="00F50B51">
        <w:rPr>
          <w:rFonts w:ascii="宋体" w:hAnsi="宋体" w:cs="宋体"/>
          <w:b/>
          <w:bCs/>
        </w:rPr>
        <w:t>、关联方应收应付款项</w:t>
      </w:r>
      <w:bookmarkEnd w:id="433"/>
    </w:p>
    <w:p w:rsidR="0058782B" w:rsidRPr="00F50B51" w:rsidRDefault="00F80EE7">
      <w:pPr>
        <w:keepNext/>
        <w:keepLines/>
        <w:spacing w:before="300" w:after="300" w:line="280" w:lineRule="exact"/>
        <w:outlineLvl w:val="3"/>
        <w:rPr>
          <w:rFonts w:ascii="宋体" w:eastAsia="宋体" w:hAnsi="宋体" w:cs="宋体"/>
          <w:b/>
          <w:bCs/>
          <w:szCs w:val="21"/>
        </w:rPr>
      </w:pPr>
      <w:bookmarkStart w:id="434" w:name="_Toc989322"/>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应收项目</w:t>
      </w:r>
      <w:bookmarkEnd w:id="43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7"/>
        <w:gridCol w:w="1606"/>
        <w:gridCol w:w="1606"/>
        <w:gridCol w:w="1607"/>
        <w:gridCol w:w="1606"/>
        <w:gridCol w:w="1607"/>
      </w:tblGrid>
      <w:tr w:rsidR="0058782B" w:rsidRPr="00F50B51">
        <w:trPr>
          <w:trHeight w:val="240"/>
        </w:trPr>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项目名称</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关联方</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435" w:name="_Toc989323"/>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应付项目</w:t>
      </w:r>
      <w:bookmarkEnd w:id="43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期初账面余额</w:t>
            </w:r>
          </w:p>
        </w:tc>
      </w:tr>
    </w:tbl>
    <w:p w:rsidR="0058782B" w:rsidRPr="00F50B51" w:rsidRDefault="00F80EE7">
      <w:pPr>
        <w:pStyle w:val="3"/>
        <w:spacing w:line="280" w:lineRule="exact"/>
        <w:jc w:val="left"/>
        <w:rPr>
          <w:rFonts w:ascii="宋体" w:hAnsi="宋体" w:cs="宋体"/>
          <w:b/>
          <w:bCs/>
        </w:rPr>
      </w:pPr>
      <w:bookmarkStart w:id="436" w:name="_Toc989324"/>
      <w:r w:rsidRPr="00F50B51">
        <w:rPr>
          <w:rFonts w:ascii="宋体" w:hAnsi="宋体" w:cs="宋体"/>
          <w:b/>
          <w:bCs/>
        </w:rPr>
        <w:t>7</w:t>
      </w:r>
      <w:r w:rsidRPr="00F50B51">
        <w:rPr>
          <w:rFonts w:ascii="宋体" w:hAnsi="宋体" w:cs="宋体"/>
          <w:b/>
          <w:bCs/>
        </w:rPr>
        <w:t>、关联方承诺</w:t>
      </w:r>
      <w:bookmarkEnd w:id="436"/>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37" w:name="_Toc989325"/>
      <w:r w:rsidRPr="00F50B51">
        <w:rPr>
          <w:rFonts w:ascii="宋体" w:hAnsi="宋体" w:cs="宋体"/>
          <w:b/>
          <w:bCs/>
        </w:rPr>
        <w:t>8</w:t>
      </w:r>
      <w:r w:rsidRPr="00F50B51">
        <w:rPr>
          <w:rFonts w:ascii="宋体" w:hAnsi="宋体" w:cs="宋体"/>
          <w:b/>
          <w:bCs/>
        </w:rPr>
        <w:t>、其他</w:t>
      </w:r>
      <w:bookmarkEnd w:id="437"/>
    </w:p>
    <w:p w:rsidR="0058782B" w:rsidRPr="00F50B51" w:rsidRDefault="0058782B">
      <w:pPr>
        <w:rPr>
          <w:sz w:val="18"/>
          <w:szCs w:val="18"/>
        </w:rPr>
      </w:pPr>
    </w:p>
    <w:p w:rsidR="0058782B" w:rsidRPr="00F50B51" w:rsidRDefault="00F80EE7">
      <w:pPr>
        <w:pStyle w:val="2"/>
        <w:spacing w:before="300" w:after="300" w:line="320" w:lineRule="exact"/>
        <w:rPr>
          <w:rFonts w:ascii="宋体" w:eastAsia="宋体" w:hAnsi="宋体" w:cs="宋体"/>
          <w:b/>
          <w:bCs/>
          <w:sz w:val="24"/>
          <w:szCs w:val="24"/>
        </w:rPr>
      </w:pPr>
      <w:bookmarkStart w:id="438" w:name="_Toc989326"/>
      <w:r w:rsidRPr="00F50B51">
        <w:rPr>
          <w:rFonts w:ascii="宋体" w:eastAsia="宋体" w:hAnsi="宋体" w:cs="宋体"/>
          <w:b/>
          <w:bCs/>
          <w:sz w:val="24"/>
          <w:szCs w:val="24"/>
        </w:rPr>
        <w:t>十三、股份支付</w:t>
      </w:r>
      <w:bookmarkEnd w:id="438"/>
    </w:p>
    <w:p w:rsidR="0058782B" w:rsidRPr="00F50B51" w:rsidRDefault="00F80EE7">
      <w:pPr>
        <w:pStyle w:val="3"/>
        <w:spacing w:line="280" w:lineRule="exact"/>
        <w:jc w:val="left"/>
        <w:rPr>
          <w:rFonts w:ascii="宋体" w:hAnsi="宋体" w:cs="宋体"/>
          <w:b/>
          <w:bCs/>
        </w:rPr>
      </w:pPr>
      <w:bookmarkStart w:id="439" w:name="_Toc989327"/>
      <w:r w:rsidRPr="00F50B51">
        <w:rPr>
          <w:rFonts w:ascii="宋体" w:hAnsi="宋体" w:cs="宋体"/>
          <w:b/>
          <w:bCs/>
        </w:rPr>
        <w:t>1</w:t>
      </w:r>
      <w:r w:rsidRPr="00F50B51">
        <w:rPr>
          <w:rFonts w:ascii="宋体" w:hAnsi="宋体" w:cs="宋体"/>
          <w:b/>
          <w:bCs/>
        </w:rPr>
        <w:t>、股份支付总体情况</w:t>
      </w:r>
      <w:bookmarkEnd w:id="439"/>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公司本期授予的各项权益工具总额</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公司本期行权的各项权益工具总额</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公司本期失效的各项权益工具总额</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0.00</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公司期末发行在外的股票期权行权价格的范围和合同剩余期限</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5.39</w:t>
            </w:r>
            <w:r w:rsidRPr="00F50B51">
              <w:rPr>
                <w:rFonts w:ascii="宋体" w:eastAsia="宋体" w:hAnsi="宋体" w:cs="宋体"/>
                <w:sz w:val="18"/>
                <w:szCs w:val="18"/>
              </w:rPr>
              <w:t>元</w:t>
            </w:r>
            <w:r w:rsidRPr="00F50B51">
              <w:rPr>
                <w:rFonts w:ascii="宋体" w:eastAsia="宋体" w:hAnsi="宋体" w:cs="宋体"/>
                <w:sz w:val="18"/>
                <w:szCs w:val="18"/>
              </w:rPr>
              <w:t>/</w:t>
            </w:r>
            <w:r w:rsidRPr="00F50B51">
              <w:rPr>
                <w:rFonts w:ascii="宋体" w:eastAsia="宋体" w:hAnsi="宋体" w:cs="宋体"/>
                <w:sz w:val="18"/>
                <w:szCs w:val="18"/>
              </w:rPr>
              <w:t>股，</w:t>
            </w:r>
            <w:r w:rsidRPr="00F50B51">
              <w:rPr>
                <w:rFonts w:ascii="宋体" w:eastAsia="宋体" w:hAnsi="宋体" w:cs="宋体"/>
                <w:sz w:val="18"/>
                <w:szCs w:val="18"/>
              </w:rPr>
              <w:t>2.33</w:t>
            </w:r>
            <w:r w:rsidRPr="00F50B51">
              <w:rPr>
                <w:rFonts w:ascii="宋体" w:eastAsia="宋体" w:hAnsi="宋体" w:cs="宋体"/>
                <w:sz w:val="18"/>
                <w:szCs w:val="18"/>
              </w:rPr>
              <w:t>年</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ascii="Times New Roman" w:hAnsi="Times New Roman" w:cs="Times New Roman"/>
          <w:sz w:val="21"/>
          <w:szCs w:val="21"/>
        </w:rPr>
        <w:t>1</w:t>
      </w:r>
      <w:r w:rsidRPr="00F50B51">
        <w:rPr>
          <w:rFonts w:cs="Times New Roman" w:hint="eastAsia"/>
          <w:sz w:val="21"/>
          <w:szCs w:val="21"/>
        </w:rPr>
        <w:t>、根据公司</w:t>
      </w:r>
      <w:r w:rsidRPr="00F50B51">
        <w:rPr>
          <w:rFonts w:ascii="Times New Roman" w:hAnsi="Times New Roman" w:cs="Times New Roman"/>
          <w:sz w:val="21"/>
          <w:szCs w:val="21"/>
        </w:rPr>
        <w:t>2018</w:t>
      </w:r>
      <w:r w:rsidRPr="00F50B51">
        <w:rPr>
          <w:rFonts w:cs="Times New Roman" w:hint="eastAsia"/>
          <w:sz w:val="21"/>
          <w:szCs w:val="21"/>
        </w:rPr>
        <w:t>年第四次临时股东大会审议通过的《关于</w:t>
      </w:r>
      <w:r w:rsidRPr="00F50B51">
        <w:rPr>
          <w:rFonts w:ascii="Times New Roman" w:hAnsi="Times New Roman" w:cs="Times New Roman"/>
          <w:sz w:val="21"/>
          <w:szCs w:val="21"/>
        </w:rPr>
        <w:t>〈</w:t>
      </w:r>
      <w:r w:rsidRPr="00F50B51">
        <w:rPr>
          <w:rFonts w:cs="Times New Roman" w:hint="eastAsia"/>
          <w:sz w:val="21"/>
          <w:szCs w:val="21"/>
        </w:rPr>
        <w:t>广东翔鹭钨业股份有限公司</w:t>
      </w:r>
      <w:r w:rsidRPr="00F50B51">
        <w:rPr>
          <w:rFonts w:ascii="Times New Roman" w:hAnsi="Times New Roman" w:cs="Times New Roman"/>
          <w:sz w:val="21"/>
          <w:szCs w:val="21"/>
        </w:rPr>
        <w:t>2018</w:t>
      </w:r>
      <w:r w:rsidRPr="00F50B51">
        <w:rPr>
          <w:rFonts w:cs="Times New Roman" w:hint="eastAsia"/>
          <w:sz w:val="21"/>
          <w:szCs w:val="21"/>
        </w:rPr>
        <w:t>年限制性股票激励计划（草案）</w:t>
      </w:r>
      <w:r w:rsidRPr="00F50B51">
        <w:rPr>
          <w:rFonts w:ascii="Times New Roman" w:hAnsi="Times New Roman" w:cs="Times New Roman"/>
          <w:sz w:val="21"/>
          <w:szCs w:val="21"/>
        </w:rPr>
        <w:t>〉</w:t>
      </w:r>
      <w:r w:rsidRPr="00F50B51">
        <w:rPr>
          <w:rFonts w:cs="Times New Roman" w:hint="eastAsia"/>
          <w:sz w:val="21"/>
          <w:szCs w:val="21"/>
        </w:rPr>
        <w:t>及其摘要的议案》及公司第三届董事会</w:t>
      </w:r>
      <w:r w:rsidRPr="00F50B51">
        <w:rPr>
          <w:rFonts w:ascii="Times New Roman" w:hAnsi="Times New Roman" w:cs="Times New Roman"/>
          <w:sz w:val="21"/>
          <w:szCs w:val="21"/>
        </w:rPr>
        <w:t>2018</w:t>
      </w:r>
      <w:r w:rsidRPr="00F50B51">
        <w:rPr>
          <w:rFonts w:cs="Times New Roman" w:hint="eastAsia"/>
          <w:sz w:val="21"/>
          <w:szCs w:val="21"/>
        </w:rPr>
        <w:t>年第四次临时会议审议通过的《关于调整公司</w:t>
      </w:r>
      <w:r w:rsidRPr="00F50B51">
        <w:rPr>
          <w:rFonts w:ascii="Times New Roman" w:hAnsi="Times New Roman" w:cs="Times New Roman"/>
          <w:sz w:val="21"/>
          <w:szCs w:val="21"/>
        </w:rPr>
        <w:t>2018</w:t>
      </w:r>
      <w:r w:rsidRPr="00F50B51">
        <w:rPr>
          <w:rFonts w:cs="Times New Roman" w:hint="eastAsia"/>
          <w:sz w:val="21"/>
          <w:szCs w:val="21"/>
        </w:rPr>
        <w:t>年限制性股票激励计划相关事项的议案》、《关于向公司</w:t>
      </w:r>
      <w:r w:rsidRPr="00F50B51">
        <w:rPr>
          <w:rFonts w:ascii="Times New Roman" w:hAnsi="Times New Roman" w:cs="Times New Roman"/>
          <w:sz w:val="21"/>
          <w:szCs w:val="21"/>
        </w:rPr>
        <w:t>2018</w:t>
      </w:r>
      <w:r w:rsidRPr="00F50B51">
        <w:rPr>
          <w:rFonts w:cs="Times New Roman" w:hint="eastAsia"/>
          <w:sz w:val="21"/>
          <w:szCs w:val="21"/>
        </w:rPr>
        <w:t>年限制性股票激励计划激励对象授予限制性股票相关事项的议案》，公司通过定向增发的方式向李盛意等</w:t>
      </w:r>
      <w:r w:rsidRPr="00F50B51">
        <w:rPr>
          <w:rFonts w:ascii="Times New Roman" w:hAnsi="Times New Roman" w:cs="Times New Roman"/>
          <w:sz w:val="21"/>
          <w:szCs w:val="21"/>
        </w:rPr>
        <w:t>105</w:t>
      </w:r>
      <w:r w:rsidRPr="00F50B51">
        <w:rPr>
          <w:rFonts w:cs="Times New Roman" w:hint="eastAsia"/>
          <w:sz w:val="21"/>
          <w:szCs w:val="21"/>
        </w:rPr>
        <w:t>位激励对象拟授予限制性人民币普通股（</w:t>
      </w:r>
      <w:r w:rsidRPr="00F50B51">
        <w:rPr>
          <w:rFonts w:ascii="Times New Roman" w:hAnsi="Times New Roman" w:cs="Times New Roman"/>
          <w:sz w:val="21"/>
          <w:szCs w:val="21"/>
        </w:rPr>
        <w:t>A</w:t>
      </w:r>
      <w:r w:rsidRPr="00F50B51">
        <w:rPr>
          <w:rFonts w:cs="Times New Roman" w:hint="eastAsia"/>
          <w:sz w:val="21"/>
          <w:szCs w:val="21"/>
        </w:rPr>
        <w:t>股）</w:t>
      </w:r>
      <w:r w:rsidRPr="00F50B51">
        <w:rPr>
          <w:rFonts w:cs="Times New Roman" w:hint="eastAsia"/>
          <w:sz w:val="21"/>
          <w:szCs w:val="21"/>
        </w:rPr>
        <w:t xml:space="preserve"> </w:t>
      </w:r>
      <w:r w:rsidRPr="00F50B51">
        <w:rPr>
          <w:rFonts w:ascii="Times New Roman" w:hAnsi="Times New Roman" w:cs="Times New Roman"/>
          <w:sz w:val="21"/>
          <w:szCs w:val="21"/>
        </w:rPr>
        <w:t>1,626,000</w:t>
      </w:r>
      <w:r w:rsidRPr="00F50B51">
        <w:rPr>
          <w:rFonts w:cs="Times New Roman" w:hint="eastAsia"/>
          <w:sz w:val="21"/>
          <w:szCs w:val="21"/>
        </w:rPr>
        <w:t>股，每股面值</w:t>
      </w:r>
      <w:r w:rsidRPr="00F50B51">
        <w:rPr>
          <w:rFonts w:ascii="Times New Roman" w:hAnsi="Times New Roman" w:cs="Times New Roman"/>
          <w:sz w:val="21"/>
          <w:szCs w:val="21"/>
        </w:rPr>
        <w:t>1</w:t>
      </w:r>
      <w:r w:rsidRPr="00F50B51">
        <w:rPr>
          <w:rFonts w:cs="Times New Roman" w:hint="eastAsia"/>
          <w:sz w:val="21"/>
          <w:szCs w:val="21"/>
        </w:rPr>
        <w:t>元，每股授予价格为人民币</w:t>
      </w:r>
      <w:r w:rsidRPr="00F50B51">
        <w:rPr>
          <w:rFonts w:ascii="Times New Roman" w:hAnsi="Times New Roman" w:cs="Times New Roman"/>
          <w:sz w:val="21"/>
          <w:szCs w:val="21"/>
        </w:rPr>
        <w:t>9.23</w:t>
      </w:r>
      <w:r w:rsidRPr="00F50B51">
        <w:rPr>
          <w:rFonts w:cs="Times New Roman" w:hint="eastAsia"/>
          <w:sz w:val="21"/>
          <w:szCs w:val="21"/>
        </w:rPr>
        <w:t>元。</w:t>
      </w:r>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ascii="Times New Roman" w:hAnsi="Times New Roman" w:cs="Times New Roman"/>
          <w:sz w:val="21"/>
          <w:szCs w:val="21"/>
        </w:rPr>
        <w:t>2</w:t>
      </w:r>
      <w:r w:rsidRPr="00F50B51">
        <w:rPr>
          <w:rFonts w:cs="Times New Roman" w:hint="eastAsia"/>
          <w:sz w:val="21"/>
          <w:szCs w:val="21"/>
        </w:rPr>
        <w:t>、本次激励计划有效期为自授予日</w:t>
      </w:r>
      <w:r w:rsidRPr="00F50B51">
        <w:rPr>
          <w:rFonts w:ascii="Times New Roman" w:hAnsi="Times New Roman" w:cs="Times New Roman"/>
          <w:sz w:val="21"/>
          <w:szCs w:val="21"/>
        </w:rPr>
        <w:t>2018</w:t>
      </w:r>
      <w:r w:rsidRPr="00F50B51">
        <w:rPr>
          <w:rFonts w:cs="Times New Roman" w:hint="eastAsia"/>
          <w:sz w:val="21"/>
          <w:szCs w:val="21"/>
        </w:rPr>
        <w:t>年</w:t>
      </w:r>
      <w:r w:rsidRPr="00F50B51">
        <w:rPr>
          <w:rFonts w:ascii="Times New Roman" w:hAnsi="Times New Roman" w:cs="Times New Roman"/>
          <w:sz w:val="21"/>
          <w:szCs w:val="21"/>
        </w:rPr>
        <w:t>12</w:t>
      </w:r>
      <w:r w:rsidRPr="00F50B51">
        <w:rPr>
          <w:rFonts w:cs="Times New Roman" w:hint="eastAsia"/>
          <w:sz w:val="21"/>
          <w:szCs w:val="21"/>
        </w:rPr>
        <w:t>月</w:t>
      </w:r>
      <w:r w:rsidRPr="00F50B51">
        <w:rPr>
          <w:rFonts w:ascii="Times New Roman" w:hAnsi="Times New Roman" w:cs="Times New Roman"/>
          <w:sz w:val="21"/>
          <w:szCs w:val="21"/>
        </w:rPr>
        <w:t>21</w:t>
      </w:r>
      <w:r w:rsidRPr="00F50B51">
        <w:rPr>
          <w:rFonts w:cs="Times New Roman" w:hint="eastAsia"/>
          <w:sz w:val="21"/>
          <w:szCs w:val="21"/>
        </w:rPr>
        <w:t>日起</w:t>
      </w:r>
      <w:r w:rsidRPr="00F50B51">
        <w:rPr>
          <w:rFonts w:ascii="Times New Roman" w:hAnsi="Times New Roman" w:cs="Times New Roman"/>
          <w:sz w:val="21"/>
          <w:szCs w:val="21"/>
        </w:rPr>
        <w:t>3</w:t>
      </w:r>
      <w:r w:rsidRPr="00F50B51">
        <w:rPr>
          <w:rFonts w:cs="Times New Roman" w:hint="eastAsia"/>
          <w:sz w:val="21"/>
          <w:szCs w:val="21"/>
        </w:rPr>
        <w:t>年，自授予日起满</w:t>
      </w:r>
      <w:r w:rsidRPr="00F50B51">
        <w:rPr>
          <w:rFonts w:ascii="Times New Roman" w:hAnsi="Times New Roman" w:cs="Times New Roman"/>
          <w:sz w:val="21"/>
          <w:szCs w:val="21"/>
        </w:rPr>
        <w:t>12</w:t>
      </w:r>
      <w:r w:rsidRPr="00F50B51">
        <w:rPr>
          <w:rFonts w:cs="Times New Roman" w:hint="eastAsia"/>
          <w:sz w:val="21"/>
          <w:szCs w:val="21"/>
        </w:rPr>
        <w:t>个月后分三期解锁，每期解锁的比例分别为</w:t>
      </w:r>
      <w:r w:rsidRPr="00F50B51">
        <w:rPr>
          <w:rFonts w:ascii="Times New Roman" w:hAnsi="Times New Roman" w:cs="Times New Roman"/>
          <w:sz w:val="21"/>
          <w:szCs w:val="21"/>
        </w:rPr>
        <w:t>40%</w:t>
      </w:r>
      <w:r w:rsidRPr="00F50B51">
        <w:rPr>
          <w:rFonts w:cs="Times New Roman" w:hint="eastAsia"/>
          <w:sz w:val="21"/>
          <w:szCs w:val="21"/>
        </w:rPr>
        <w:t>、</w:t>
      </w:r>
      <w:r w:rsidRPr="00F50B51">
        <w:rPr>
          <w:rFonts w:ascii="Times New Roman" w:hAnsi="Times New Roman" w:cs="Times New Roman"/>
          <w:sz w:val="21"/>
          <w:szCs w:val="21"/>
        </w:rPr>
        <w:t>30%</w:t>
      </w:r>
      <w:r w:rsidRPr="00F50B51">
        <w:rPr>
          <w:rFonts w:cs="Times New Roman" w:hint="eastAsia"/>
          <w:sz w:val="21"/>
          <w:szCs w:val="21"/>
        </w:rPr>
        <w:t>、</w:t>
      </w:r>
      <w:r w:rsidRPr="00F50B51">
        <w:rPr>
          <w:rFonts w:ascii="Times New Roman" w:hAnsi="Times New Roman" w:cs="Times New Roman"/>
          <w:sz w:val="21"/>
          <w:szCs w:val="21"/>
        </w:rPr>
        <w:t>30%</w:t>
      </w:r>
      <w:r w:rsidRPr="00F50B51">
        <w:rPr>
          <w:rFonts w:cs="Times New Roman" w:hint="eastAsia"/>
          <w:sz w:val="21"/>
          <w:szCs w:val="21"/>
        </w:rPr>
        <w:t>。解锁业绩考核条件包括：</w:t>
      </w:r>
      <w:r w:rsidRPr="00F50B51">
        <w:rPr>
          <w:rFonts w:ascii="Times New Roman" w:hAnsi="Times New Roman" w:cs="Times New Roman"/>
          <w:sz w:val="21"/>
          <w:szCs w:val="21"/>
        </w:rPr>
        <w:t>2018</w:t>
      </w:r>
      <w:r w:rsidRPr="00F50B51">
        <w:rPr>
          <w:rFonts w:cs="Times New Roman" w:hint="eastAsia"/>
          <w:sz w:val="21"/>
          <w:szCs w:val="21"/>
        </w:rPr>
        <w:t>年</w:t>
      </w:r>
      <w:r w:rsidRPr="00F50B51">
        <w:rPr>
          <w:rFonts w:ascii="Times New Roman" w:hAnsi="Times New Roman" w:cs="Times New Roman"/>
          <w:sz w:val="21"/>
          <w:szCs w:val="21"/>
        </w:rPr>
        <w:t>-2020</w:t>
      </w:r>
      <w:r w:rsidRPr="00F50B51">
        <w:rPr>
          <w:rFonts w:cs="Times New Roman" w:hint="eastAsia"/>
          <w:sz w:val="21"/>
          <w:szCs w:val="21"/>
        </w:rPr>
        <w:t>年，各年度营业收入较基期</w:t>
      </w:r>
      <w:r w:rsidRPr="00F50B51">
        <w:rPr>
          <w:rFonts w:ascii="Times New Roman" w:hAnsi="Times New Roman" w:cs="Times New Roman"/>
          <w:sz w:val="21"/>
          <w:szCs w:val="21"/>
        </w:rPr>
        <w:t>2017</w:t>
      </w:r>
      <w:r w:rsidRPr="00F50B51">
        <w:rPr>
          <w:rFonts w:cs="Times New Roman" w:hint="eastAsia"/>
          <w:sz w:val="21"/>
          <w:szCs w:val="21"/>
        </w:rPr>
        <w:t>年度增长率分别不低于</w:t>
      </w:r>
      <w:r w:rsidRPr="00F50B51">
        <w:rPr>
          <w:rFonts w:ascii="Times New Roman" w:hAnsi="Times New Roman" w:cs="Times New Roman"/>
          <w:sz w:val="21"/>
          <w:szCs w:val="21"/>
        </w:rPr>
        <w:t>15%</w:t>
      </w:r>
      <w:r w:rsidRPr="00F50B51">
        <w:rPr>
          <w:rFonts w:cs="Times New Roman" w:hint="eastAsia"/>
          <w:sz w:val="21"/>
          <w:szCs w:val="21"/>
        </w:rPr>
        <w:t>、</w:t>
      </w:r>
      <w:r w:rsidRPr="00F50B51">
        <w:rPr>
          <w:rFonts w:ascii="Times New Roman" w:hAnsi="Times New Roman" w:cs="Times New Roman"/>
          <w:sz w:val="21"/>
          <w:szCs w:val="21"/>
        </w:rPr>
        <w:t>30%</w:t>
      </w:r>
      <w:r w:rsidRPr="00F50B51">
        <w:rPr>
          <w:rFonts w:cs="Times New Roman" w:hint="eastAsia"/>
          <w:sz w:val="21"/>
          <w:szCs w:val="21"/>
        </w:rPr>
        <w:t>、</w:t>
      </w:r>
      <w:r w:rsidRPr="00F50B51">
        <w:rPr>
          <w:rFonts w:ascii="Times New Roman" w:hAnsi="Times New Roman" w:cs="Times New Roman"/>
          <w:sz w:val="21"/>
          <w:szCs w:val="21"/>
        </w:rPr>
        <w:t>45%</w:t>
      </w:r>
      <w:r w:rsidRPr="00F50B51">
        <w:rPr>
          <w:rFonts w:cs="Times New Roman" w:hint="eastAsia"/>
          <w:sz w:val="21"/>
          <w:szCs w:val="21"/>
        </w:rPr>
        <w:t>。截至</w:t>
      </w:r>
      <w:r w:rsidRPr="00F50B51">
        <w:rPr>
          <w:rFonts w:ascii="Times New Roman" w:hAnsi="Times New Roman" w:cs="Times New Roman"/>
          <w:sz w:val="21"/>
          <w:szCs w:val="21"/>
        </w:rPr>
        <w:t>2021</w:t>
      </w:r>
      <w:r w:rsidRPr="00F50B51">
        <w:rPr>
          <w:rFonts w:cs="Times New Roman" w:hint="eastAsia"/>
          <w:sz w:val="21"/>
          <w:szCs w:val="21"/>
        </w:rPr>
        <w:t>年</w:t>
      </w:r>
      <w:r w:rsidRPr="00F50B51">
        <w:rPr>
          <w:rFonts w:ascii="Times New Roman" w:hAnsi="Times New Roman" w:cs="Times New Roman"/>
          <w:sz w:val="21"/>
          <w:szCs w:val="21"/>
        </w:rPr>
        <w:t>12</w:t>
      </w:r>
      <w:r w:rsidRPr="00F50B51">
        <w:rPr>
          <w:rFonts w:cs="Times New Roman" w:hint="eastAsia"/>
          <w:sz w:val="21"/>
          <w:szCs w:val="21"/>
        </w:rPr>
        <w:t>月</w:t>
      </w:r>
      <w:r w:rsidRPr="00F50B51">
        <w:rPr>
          <w:rFonts w:ascii="Times New Roman" w:hAnsi="Times New Roman" w:cs="Times New Roman"/>
          <w:sz w:val="21"/>
          <w:szCs w:val="21"/>
        </w:rPr>
        <w:t>31</w:t>
      </w:r>
      <w:r w:rsidRPr="00F50B51">
        <w:rPr>
          <w:rFonts w:cs="Times New Roman" w:hint="eastAsia"/>
          <w:sz w:val="21"/>
          <w:szCs w:val="21"/>
        </w:rPr>
        <w:t>日，因授予对象考核不合格或个人原因离职导致有</w:t>
      </w:r>
      <w:r w:rsidRPr="00F50B51">
        <w:rPr>
          <w:rFonts w:ascii="Times New Roman" w:hAnsi="Times New Roman" w:cs="Times New Roman"/>
          <w:sz w:val="21"/>
          <w:szCs w:val="21"/>
        </w:rPr>
        <w:t>643,440.00</w:t>
      </w:r>
      <w:r w:rsidRPr="00F50B51">
        <w:rPr>
          <w:rFonts w:cs="Times New Roman" w:hint="eastAsia"/>
          <w:sz w:val="21"/>
          <w:szCs w:val="21"/>
        </w:rPr>
        <w:t>股失效的限制性股票。</w:t>
      </w:r>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ascii="Times New Roman" w:hAnsi="Times New Roman" w:cs="Times New Roman"/>
          <w:sz w:val="21"/>
          <w:szCs w:val="21"/>
        </w:rPr>
        <w:t>3</w:t>
      </w:r>
      <w:r w:rsidRPr="00F50B51">
        <w:rPr>
          <w:rFonts w:cs="Times New Roman" w:hint="eastAsia"/>
          <w:sz w:val="21"/>
          <w:szCs w:val="21"/>
        </w:rPr>
        <w:t>、公司第四届董事会</w:t>
      </w:r>
      <w:r w:rsidRPr="00F50B51">
        <w:rPr>
          <w:rFonts w:ascii="Times New Roman" w:hAnsi="Times New Roman" w:cs="Times New Roman"/>
          <w:sz w:val="21"/>
          <w:szCs w:val="21"/>
        </w:rPr>
        <w:t>2021</w:t>
      </w:r>
      <w:r w:rsidRPr="00F50B51">
        <w:rPr>
          <w:rFonts w:cs="Times New Roman" w:hint="eastAsia"/>
          <w:sz w:val="21"/>
          <w:szCs w:val="21"/>
        </w:rPr>
        <w:t>年</w:t>
      </w:r>
      <w:r w:rsidRPr="00F50B51">
        <w:rPr>
          <w:rFonts w:cs="Times New Roman" w:hint="eastAsia"/>
          <w:sz w:val="21"/>
          <w:szCs w:val="21"/>
        </w:rPr>
        <w:t>第六次临时会议和第四届监事会第七次会议于</w:t>
      </w:r>
      <w:r w:rsidRPr="00F50B51">
        <w:rPr>
          <w:rFonts w:ascii="Times New Roman" w:hAnsi="Times New Roman" w:cs="Times New Roman"/>
          <w:sz w:val="21"/>
          <w:szCs w:val="21"/>
        </w:rPr>
        <w:t>2021</w:t>
      </w:r>
      <w:r w:rsidRPr="00F50B51">
        <w:rPr>
          <w:rFonts w:cs="Times New Roman" w:hint="eastAsia"/>
          <w:sz w:val="21"/>
          <w:szCs w:val="21"/>
        </w:rPr>
        <w:t>年</w:t>
      </w:r>
      <w:r w:rsidRPr="00F50B51">
        <w:rPr>
          <w:rFonts w:ascii="Times New Roman" w:hAnsi="Times New Roman" w:cs="Times New Roman"/>
          <w:sz w:val="21"/>
          <w:szCs w:val="21"/>
        </w:rPr>
        <w:t>11</w:t>
      </w:r>
      <w:r w:rsidRPr="00F50B51">
        <w:rPr>
          <w:rFonts w:cs="Times New Roman" w:hint="eastAsia"/>
          <w:sz w:val="21"/>
          <w:szCs w:val="21"/>
        </w:rPr>
        <w:t>月</w:t>
      </w:r>
      <w:r w:rsidRPr="00F50B51">
        <w:rPr>
          <w:rFonts w:ascii="Times New Roman" w:hAnsi="Times New Roman" w:cs="Times New Roman"/>
          <w:sz w:val="21"/>
          <w:szCs w:val="21"/>
        </w:rPr>
        <w:t>3</w:t>
      </w:r>
      <w:r w:rsidRPr="00F50B51">
        <w:rPr>
          <w:rFonts w:cs="Times New Roman" w:hint="eastAsia"/>
          <w:sz w:val="21"/>
          <w:szCs w:val="21"/>
        </w:rPr>
        <w:t>日召开，审议通过了《关于调整公司</w:t>
      </w:r>
      <w:r w:rsidRPr="00F50B51">
        <w:rPr>
          <w:rFonts w:ascii="Times New Roman" w:hAnsi="Times New Roman" w:cs="Times New Roman"/>
          <w:sz w:val="21"/>
          <w:szCs w:val="21"/>
        </w:rPr>
        <w:t>2021</w:t>
      </w:r>
      <w:r w:rsidRPr="00F50B51">
        <w:rPr>
          <w:rFonts w:cs="Times New Roman" w:hint="eastAsia"/>
          <w:sz w:val="21"/>
          <w:szCs w:val="21"/>
        </w:rPr>
        <w:t>年限制性股票激励计划相关事项的议案》、《关于向公司</w:t>
      </w:r>
      <w:r w:rsidRPr="00F50B51">
        <w:rPr>
          <w:rFonts w:ascii="Times New Roman" w:hAnsi="Times New Roman" w:cs="Times New Roman"/>
          <w:sz w:val="21"/>
          <w:szCs w:val="21"/>
        </w:rPr>
        <w:t>2021</w:t>
      </w:r>
      <w:r w:rsidRPr="00F50B51">
        <w:rPr>
          <w:rFonts w:cs="Times New Roman" w:hint="eastAsia"/>
          <w:sz w:val="21"/>
          <w:szCs w:val="21"/>
        </w:rPr>
        <w:t>年限制性股票激励计划激励对象首次授予限制性股票相关事项的议案》，确定公司限制性股票的首次授予日为</w:t>
      </w:r>
      <w:r w:rsidRPr="00F50B51">
        <w:rPr>
          <w:rFonts w:ascii="Times New Roman" w:hAnsi="Times New Roman" w:cs="Times New Roman"/>
          <w:sz w:val="21"/>
          <w:szCs w:val="21"/>
        </w:rPr>
        <w:t>2021</w:t>
      </w:r>
      <w:r w:rsidRPr="00F50B51">
        <w:rPr>
          <w:rFonts w:cs="Times New Roman" w:hint="eastAsia"/>
          <w:sz w:val="21"/>
          <w:szCs w:val="21"/>
        </w:rPr>
        <w:t>年</w:t>
      </w:r>
      <w:r w:rsidRPr="00F50B51">
        <w:rPr>
          <w:rFonts w:ascii="Times New Roman" w:hAnsi="Times New Roman" w:cs="Times New Roman"/>
          <w:sz w:val="21"/>
          <w:szCs w:val="21"/>
        </w:rPr>
        <w:t>11</w:t>
      </w:r>
      <w:r w:rsidRPr="00F50B51">
        <w:rPr>
          <w:rFonts w:cs="Times New Roman" w:hint="eastAsia"/>
          <w:sz w:val="21"/>
          <w:szCs w:val="21"/>
        </w:rPr>
        <w:t>月</w:t>
      </w:r>
      <w:r w:rsidRPr="00F50B51">
        <w:rPr>
          <w:rFonts w:ascii="Times New Roman" w:hAnsi="Times New Roman" w:cs="Times New Roman"/>
          <w:sz w:val="21"/>
          <w:szCs w:val="21"/>
        </w:rPr>
        <w:t>3</w:t>
      </w:r>
      <w:r w:rsidRPr="00F50B51">
        <w:rPr>
          <w:rFonts w:cs="Times New Roman" w:hint="eastAsia"/>
          <w:sz w:val="21"/>
          <w:szCs w:val="21"/>
        </w:rPr>
        <w:t>日，向</w:t>
      </w:r>
      <w:r w:rsidRPr="00F50B51">
        <w:rPr>
          <w:rFonts w:ascii="Times New Roman" w:hAnsi="Times New Roman" w:cs="Times New Roman"/>
          <w:sz w:val="21"/>
          <w:szCs w:val="21"/>
        </w:rPr>
        <w:t>116</w:t>
      </w:r>
      <w:r w:rsidRPr="00F50B51">
        <w:rPr>
          <w:rFonts w:cs="Times New Roman" w:hint="eastAsia"/>
          <w:sz w:val="21"/>
          <w:szCs w:val="21"/>
        </w:rPr>
        <w:t>名激励对象首次授予</w:t>
      </w:r>
      <w:r w:rsidRPr="00F50B51">
        <w:rPr>
          <w:rFonts w:ascii="Times New Roman" w:hAnsi="Times New Roman" w:cs="Times New Roman"/>
          <w:sz w:val="21"/>
          <w:szCs w:val="21"/>
        </w:rPr>
        <w:t>467</w:t>
      </w:r>
      <w:r w:rsidRPr="00F50B51">
        <w:rPr>
          <w:rFonts w:cs="Times New Roman" w:hint="eastAsia"/>
          <w:sz w:val="21"/>
          <w:szCs w:val="21"/>
        </w:rPr>
        <w:t>万股限制性股票，授予价格为每股</w:t>
      </w:r>
      <w:r w:rsidRPr="00F50B51">
        <w:rPr>
          <w:rFonts w:ascii="Times New Roman" w:hAnsi="Times New Roman" w:cs="Times New Roman"/>
          <w:sz w:val="21"/>
          <w:szCs w:val="21"/>
        </w:rPr>
        <w:t>5.39</w:t>
      </w:r>
      <w:r w:rsidRPr="00F50B51">
        <w:rPr>
          <w:rFonts w:cs="Times New Roman" w:hint="eastAsia"/>
          <w:sz w:val="21"/>
          <w:szCs w:val="21"/>
        </w:rPr>
        <w:t>元。</w:t>
      </w:r>
    </w:p>
    <w:p w:rsidR="0058782B" w:rsidRPr="00F50B51" w:rsidRDefault="00F80EE7">
      <w:pPr>
        <w:pStyle w:val="a7"/>
        <w:spacing w:before="120" w:beforeAutospacing="0" w:after="0" w:afterAutospacing="0" w:line="460" w:lineRule="atLeast"/>
        <w:ind w:firstLine="424"/>
        <w:jc w:val="both"/>
        <w:rPr>
          <w:rFonts w:ascii="Times New Roman" w:hAnsi="Times New Roman" w:cs="Times New Roman"/>
          <w:sz w:val="21"/>
          <w:szCs w:val="21"/>
        </w:rPr>
      </w:pPr>
      <w:r w:rsidRPr="00F50B51">
        <w:rPr>
          <w:rFonts w:ascii="Times New Roman" w:hAnsi="Times New Roman" w:cs="Times New Roman"/>
          <w:sz w:val="21"/>
          <w:szCs w:val="21"/>
        </w:rPr>
        <w:t>4</w:t>
      </w:r>
      <w:r w:rsidRPr="00F50B51">
        <w:rPr>
          <w:rFonts w:cs="Times New Roman" w:hint="eastAsia"/>
          <w:sz w:val="21"/>
          <w:szCs w:val="21"/>
        </w:rPr>
        <w:t>、本次激励计划有效期为自授予日</w:t>
      </w:r>
      <w:r w:rsidRPr="00F50B51">
        <w:rPr>
          <w:rFonts w:ascii="Times New Roman" w:hAnsi="Times New Roman" w:cs="Times New Roman"/>
          <w:sz w:val="21"/>
          <w:szCs w:val="21"/>
        </w:rPr>
        <w:t>2021</w:t>
      </w:r>
      <w:r w:rsidRPr="00F50B51">
        <w:rPr>
          <w:rFonts w:cs="Times New Roman" w:hint="eastAsia"/>
          <w:sz w:val="21"/>
          <w:szCs w:val="21"/>
        </w:rPr>
        <w:t>年</w:t>
      </w:r>
      <w:r w:rsidRPr="00F50B51">
        <w:rPr>
          <w:rFonts w:ascii="Times New Roman" w:hAnsi="Times New Roman" w:cs="Times New Roman"/>
          <w:sz w:val="21"/>
          <w:szCs w:val="21"/>
        </w:rPr>
        <w:t>11</w:t>
      </w:r>
      <w:r w:rsidRPr="00F50B51">
        <w:rPr>
          <w:rFonts w:cs="Times New Roman" w:hint="eastAsia"/>
          <w:sz w:val="21"/>
          <w:szCs w:val="21"/>
        </w:rPr>
        <w:t>月</w:t>
      </w:r>
      <w:r w:rsidRPr="00F50B51">
        <w:rPr>
          <w:rFonts w:ascii="Times New Roman" w:hAnsi="Times New Roman" w:cs="Times New Roman"/>
          <w:sz w:val="21"/>
          <w:szCs w:val="21"/>
        </w:rPr>
        <w:t>3</w:t>
      </w:r>
      <w:r w:rsidRPr="00F50B51">
        <w:rPr>
          <w:rFonts w:cs="Times New Roman" w:hint="eastAsia"/>
          <w:sz w:val="21"/>
          <w:szCs w:val="21"/>
        </w:rPr>
        <w:t>日起</w:t>
      </w:r>
      <w:r w:rsidRPr="00F50B51">
        <w:rPr>
          <w:rFonts w:ascii="Times New Roman" w:hAnsi="Times New Roman" w:cs="Times New Roman"/>
          <w:sz w:val="21"/>
          <w:szCs w:val="21"/>
        </w:rPr>
        <w:t>3</w:t>
      </w:r>
      <w:r w:rsidRPr="00F50B51">
        <w:rPr>
          <w:rFonts w:cs="Times New Roman" w:hint="eastAsia"/>
          <w:sz w:val="21"/>
          <w:szCs w:val="21"/>
        </w:rPr>
        <w:t>年，自授予日起满</w:t>
      </w:r>
      <w:r w:rsidRPr="00F50B51">
        <w:rPr>
          <w:rFonts w:ascii="Times New Roman" w:hAnsi="Times New Roman" w:cs="Times New Roman"/>
          <w:sz w:val="21"/>
          <w:szCs w:val="21"/>
        </w:rPr>
        <w:t>12</w:t>
      </w:r>
      <w:r w:rsidRPr="00F50B51">
        <w:rPr>
          <w:rFonts w:cs="Times New Roman" w:hint="eastAsia"/>
          <w:sz w:val="21"/>
          <w:szCs w:val="21"/>
        </w:rPr>
        <w:t>个月后分三期解锁，每期解锁的比例分别为</w:t>
      </w:r>
      <w:r w:rsidRPr="00F50B51">
        <w:rPr>
          <w:rFonts w:ascii="Times New Roman" w:hAnsi="Times New Roman" w:cs="Times New Roman"/>
          <w:sz w:val="21"/>
          <w:szCs w:val="21"/>
        </w:rPr>
        <w:t>40%</w:t>
      </w:r>
      <w:r w:rsidRPr="00F50B51">
        <w:rPr>
          <w:rFonts w:cs="Times New Roman" w:hint="eastAsia"/>
          <w:sz w:val="21"/>
          <w:szCs w:val="21"/>
        </w:rPr>
        <w:t>、</w:t>
      </w:r>
      <w:r w:rsidRPr="00F50B51">
        <w:rPr>
          <w:rFonts w:cs="Times New Roman" w:hint="eastAsia"/>
          <w:sz w:val="21"/>
          <w:szCs w:val="21"/>
        </w:rPr>
        <w:t xml:space="preserve"> </w:t>
      </w:r>
      <w:r w:rsidRPr="00F50B51">
        <w:rPr>
          <w:rFonts w:ascii="Times New Roman" w:hAnsi="Times New Roman" w:cs="Times New Roman"/>
          <w:sz w:val="21"/>
          <w:szCs w:val="21"/>
        </w:rPr>
        <w:t>30%</w:t>
      </w:r>
      <w:r w:rsidRPr="00F50B51">
        <w:rPr>
          <w:rFonts w:cs="Times New Roman" w:hint="eastAsia"/>
          <w:sz w:val="21"/>
          <w:szCs w:val="21"/>
        </w:rPr>
        <w:t>、</w:t>
      </w:r>
      <w:r w:rsidRPr="00F50B51">
        <w:rPr>
          <w:rFonts w:cs="Times New Roman" w:hint="eastAsia"/>
          <w:sz w:val="21"/>
          <w:szCs w:val="21"/>
        </w:rPr>
        <w:t xml:space="preserve"> </w:t>
      </w:r>
      <w:r w:rsidRPr="00F50B51">
        <w:rPr>
          <w:rFonts w:ascii="Times New Roman" w:hAnsi="Times New Roman" w:cs="Times New Roman"/>
          <w:sz w:val="21"/>
          <w:szCs w:val="21"/>
        </w:rPr>
        <w:t>30%</w:t>
      </w:r>
      <w:r w:rsidRPr="00F50B51">
        <w:rPr>
          <w:rFonts w:cs="Times New Roman" w:hint="eastAsia"/>
          <w:sz w:val="21"/>
          <w:szCs w:val="21"/>
        </w:rPr>
        <w:t>。解锁业绩考核条件包括：</w:t>
      </w:r>
      <w:r w:rsidRPr="00F50B51">
        <w:rPr>
          <w:rFonts w:cs="Times New Roman" w:hint="eastAsia"/>
          <w:sz w:val="21"/>
          <w:szCs w:val="21"/>
        </w:rPr>
        <w:t xml:space="preserve"> </w:t>
      </w:r>
      <w:r w:rsidRPr="00F50B51">
        <w:rPr>
          <w:rFonts w:ascii="Times New Roman" w:hAnsi="Times New Roman" w:cs="Times New Roman"/>
          <w:sz w:val="21"/>
          <w:szCs w:val="21"/>
        </w:rPr>
        <w:t>2021</w:t>
      </w:r>
      <w:r w:rsidRPr="00F50B51">
        <w:rPr>
          <w:rFonts w:cs="Times New Roman" w:hint="eastAsia"/>
          <w:sz w:val="21"/>
          <w:szCs w:val="21"/>
        </w:rPr>
        <w:t>年净利润为正数；以</w:t>
      </w:r>
      <w:r w:rsidRPr="00F50B51">
        <w:rPr>
          <w:rFonts w:ascii="Times New Roman" w:hAnsi="Times New Roman" w:cs="Times New Roman"/>
          <w:sz w:val="21"/>
          <w:szCs w:val="21"/>
        </w:rPr>
        <w:t>2021</w:t>
      </w:r>
      <w:r w:rsidRPr="00F50B51">
        <w:rPr>
          <w:rFonts w:cs="Times New Roman" w:hint="eastAsia"/>
          <w:sz w:val="21"/>
          <w:szCs w:val="21"/>
        </w:rPr>
        <w:t>年净利润为基础，</w:t>
      </w:r>
      <w:r w:rsidRPr="00F50B51">
        <w:rPr>
          <w:rFonts w:ascii="Times New Roman" w:hAnsi="Times New Roman" w:cs="Times New Roman"/>
          <w:sz w:val="21"/>
          <w:szCs w:val="21"/>
        </w:rPr>
        <w:t>2022</w:t>
      </w:r>
      <w:r w:rsidRPr="00F50B51">
        <w:rPr>
          <w:rFonts w:cs="Times New Roman" w:hint="eastAsia"/>
          <w:sz w:val="21"/>
          <w:szCs w:val="21"/>
        </w:rPr>
        <w:t>年净利润增长率不低于</w:t>
      </w:r>
      <w:r w:rsidRPr="00F50B51">
        <w:rPr>
          <w:rFonts w:ascii="Times New Roman" w:hAnsi="Times New Roman" w:cs="Times New Roman"/>
          <w:sz w:val="21"/>
          <w:szCs w:val="21"/>
        </w:rPr>
        <w:t>10%</w:t>
      </w:r>
      <w:r w:rsidRPr="00F50B51">
        <w:rPr>
          <w:rFonts w:cs="Times New Roman" w:hint="eastAsia"/>
          <w:sz w:val="21"/>
          <w:szCs w:val="21"/>
        </w:rPr>
        <w:t>；以</w:t>
      </w:r>
      <w:r w:rsidRPr="00F50B51">
        <w:rPr>
          <w:rFonts w:ascii="Times New Roman" w:hAnsi="Times New Roman" w:cs="Times New Roman"/>
          <w:sz w:val="21"/>
          <w:szCs w:val="21"/>
        </w:rPr>
        <w:t>2021</w:t>
      </w:r>
      <w:r w:rsidRPr="00F50B51">
        <w:rPr>
          <w:rFonts w:cs="Times New Roman" w:hint="eastAsia"/>
          <w:sz w:val="21"/>
          <w:szCs w:val="21"/>
        </w:rPr>
        <w:t>年净利润为基础，</w:t>
      </w:r>
      <w:r w:rsidRPr="00F50B51">
        <w:rPr>
          <w:rFonts w:ascii="Times New Roman" w:hAnsi="Times New Roman" w:cs="Times New Roman"/>
          <w:sz w:val="21"/>
          <w:szCs w:val="21"/>
        </w:rPr>
        <w:t>2023</w:t>
      </w:r>
      <w:r w:rsidRPr="00F50B51">
        <w:rPr>
          <w:rFonts w:cs="Times New Roman" w:hint="eastAsia"/>
          <w:sz w:val="21"/>
          <w:szCs w:val="21"/>
        </w:rPr>
        <w:t>年净利润增长率不低于</w:t>
      </w:r>
      <w:r w:rsidRPr="00F50B51">
        <w:rPr>
          <w:rFonts w:ascii="Times New Roman" w:hAnsi="Times New Roman" w:cs="Times New Roman"/>
          <w:sz w:val="21"/>
          <w:szCs w:val="21"/>
        </w:rPr>
        <w:t>25%</w:t>
      </w:r>
      <w:r w:rsidRPr="00F50B51">
        <w:rPr>
          <w:rFonts w:cs="Times New Roman" w:hint="eastAsia"/>
          <w:sz w:val="21"/>
          <w:szCs w:val="21"/>
        </w:rPr>
        <w:t>。</w:t>
      </w:r>
    </w:p>
    <w:p w:rsidR="0058782B" w:rsidRPr="00F50B51" w:rsidRDefault="00F80EE7">
      <w:pPr>
        <w:pStyle w:val="3"/>
        <w:spacing w:line="280" w:lineRule="exact"/>
        <w:jc w:val="left"/>
        <w:rPr>
          <w:rFonts w:ascii="宋体" w:hAnsi="宋体" w:cs="宋体"/>
          <w:b/>
          <w:bCs/>
        </w:rPr>
      </w:pPr>
      <w:bookmarkStart w:id="440" w:name="_Toc989328"/>
      <w:r w:rsidRPr="00F50B51">
        <w:rPr>
          <w:rFonts w:ascii="宋体" w:hAnsi="宋体" w:cs="宋体"/>
          <w:b/>
          <w:bCs/>
        </w:rPr>
        <w:t>2</w:t>
      </w:r>
      <w:r w:rsidRPr="00F50B51">
        <w:rPr>
          <w:rFonts w:ascii="宋体" w:hAnsi="宋体" w:cs="宋体"/>
          <w:b/>
          <w:bCs/>
        </w:rPr>
        <w:t>、以权益结算的股份支付情况</w:t>
      </w:r>
      <w:bookmarkEnd w:id="440"/>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授予日权益工具公允价值的确定方法</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根据授予日的股票收盘价</w:t>
            </w:r>
            <w:r w:rsidRPr="00F50B51">
              <w:rPr>
                <w:rFonts w:ascii="宋体" w:eastAsia="宋体" w:hAnsi="宋体" w:cs="宋体"/>
                <w:sz w:val="18"/>
                <w:szCs w:val="18"/>
              </w:rPr>
              <w:t>9.15</w:t>
            </w:r>
            <w:r w:rsidRPr="00F50B51">
              <w:rPr>
                <w:rFonts w:ascii="宋体" w:eastAsia="宋体" w:hAnsi="宋体" w:cs="宋体"/>
                <w:sz w:val="18"/>
                <w:szCs w:val="18"/>
              </w:rPr>
              <w:t>元为基础计算确定</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可行权权益工具数量的确定依据</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公司根据在职激励对象对应的权益工具、以及对未来年度公司业绩的预测进行确定</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本期估计与上期估计有重大差异的原因</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不适用</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以权益结算的股份支付计入资本公积的累计金额</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6,972,601.88</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本期以权益结算的股份支付确认的费用总额</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5,121,433.34</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41" w:name="_Toc989329"/>
      <w:r w:rsidRPr="00F50B51">
        <w:rPr>
          <w:rFonts w:ascii="宋体" w:hAnsi="宋体" w:cs="宋体"/>
          <w:b/>
          <w:bCs/>
        </w:rPr>
        <w:t>3</w:t>
      </w:r>
      <w:r w:rsidRPr="00F50B51">
        <w:rPr>
          <w:rFonts w:ascii="宋体" w:hAnsi="宋体" w:cs="宋体"/>
          <w:b/>
          <w:bCs/>
        </w:rPr>
        <w:t>、以现金结算的股份支付情况</w:t>
      </w:r>
      <w:bookmarkEnd w:id="441"/>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3"/>
        <w:spacing w:line="280" w:lineRule="exact"/>
        <w:jc w:val="left"/>
        <w:rPr>
          <w:rFonts w:ascii="宋体" w:hAnsi="宋体" w:cs="宋体"/>
          <w:b/>
          <w:bCs/>
        </w:rPr>
      </w:pPr>
      <w:bookmarkStart w:id="442" w:name="_Toc989330"/>
      <w:r w:rsidRPr="00F50B51">
        <w:rPr>
          <w:rFonts w:ascii="宋体" w:hAnsi="宋体" w:cs="宋体"/>
          <w:b/>
          <w:bCs/>
        </w:rPr>
        <w:t>4</w:t>
      </w:r>
      <w:r w:rsidRPr="00F50B51">
        <w:rPr>
          <w:rFonts w:ascii="宋体" w:hAnsi="宋体" w:cs="宋体"/>
          <w:b/>
          <w:bCs/>
        </w:rPr>
        <w:t>、股份支付的修改、终止情况</w:t>
      </w:r>
      <w:bookmarkEnd w:id="442"/>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43" w:name="_Toc989331"/>
      <w:r w:rsidRPr="00F50B51">
        <w:rPr>
          <w:rFonts w:ascii="宋体" w:hAnsi="宋体" w:cs="宋体"/>
          <w:b/>
          <w:bCs/>
        </w:rPr>
        <w:t>5</w:t>
      </w:r>
      <w:r w:rsidRPr="00F50B51">
        <w:rPr>
          <w:rFonts w:ascii="宋体" w:hAnsi="宋体" w:cs="宋体"/>
          <w:b/>
          <w:bCs/>
        </w:rPr>
        <w:t>、其他</w:t>
      </w:r>
      <w:r w:rsidRPr="00F50B51">
        <w:rPr>
          <w:rFonts w:ascii="宋体" w:hAnsi="宋体" w:cs="宋体"/>
          <w:b/>
          <w:bCs/>
        </w:rPr>
        <w:t xml:space="preserve"> </w:t>
      </w:r>
      <w:bookmarkEnd w:id="443"/>
    </w:p>
    <w:p w:rsidR="0058782B" w:rsidRPr="00F50B51" w:rsidRDefault="0058782B">
      <w:pPr>
        <w:rPr>
          <w:sz w:val="18"/>
          <w:szCs w:val="18"/>
        </w:rPr>
      </w:pPr>
    </w:p>
    <w:p w:rsidR="0058782B" w:rsidRPr="00F50B51" w:rsidRDefault="00F80EE7">
      <w:pPr>
        <w:pStyle w:val="2"/>
        <w:spacing w:before="300" w:after="300" w:line="320" w:lineRule="exact"/>
        <w:rPr>
          <w:rFonts w:ascii="宋体" w:eastAsia="宋体" w:hAnsi="宋体" w:cs="宋体"/>
          <w:b/>
          <w:bCs/>
          <w:sz w:val="24"/>
          <w:szCs w:val="24"/>
        </w:rPr>
      </w:pPr>
      <w:bookmarkStart w:id="444" w:name="_Toc989332"/>
      <w:r w:rsidRPr="00F50B51">
        <w:rPr>
          <w:rFonts w:ascii="宋体" w:eastAsia="宋体" w:hAnsi="宋体" w:cs="宋体"/>
          <w:b/>
          <w:bCs/>
          <w:sz w:val="24"/>
          <w:szCs w:val="24"/>
        </w:rPr>
        <w:t>十四、承诺及或有事项</w:t>
      </w:r>
      <w:bookmarkEnd w:id="444"/>
    </w:p>
    <w:p w:rsidR="0058782B" w:rsidRPr="00F50B51" w:rsidRDefault="00F80EE7">
      <w:pPr>
        <w:pStyle w:val="3"/>
        <w:spacing w:line="280" w:lineRule="exact"/>
        <w:jc w:val="left"/>
        <w:rPr>
          <w:rFonts w:ascii="宋体" w:hAnsi="宋体" w:cs="宋体"/>
          <w:b/>
          <w:bCs/>
        </w:rPr>
      </w:pPr>
      <w:bookmarkStart w:id="445" w:name="_Toc989333"/>
      <w:r w:rsidRPr="00F50B51">
        <w:rPr>
          <w:rFonts w:ascii="宋体" w:hAnsi="宋体" w:cs="宋体"/>
          <w:b/>
          <w:bCs/>
        </w:rPr>
        <w:t>1</w:t>
      </w:r>
      <w:r w:rsidRPr="00F50B51">
        <w:rPr>
          <w:rFonts w:ascii="宋体" w:hAnsi="宋体" w:cs="宋体"/>
          <w:b/>
          <w:bCs/>
        </w:rPr>
        <w:t>、重要承诺事项</w:t>
      </w:r>
      <w:bookmarkEnd w:id="445"/>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资产负债表日存在的重要承诺</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46" w:name="_Toc989334"/>
      <w:r w:rsidRPr="00F50B51">
        <w:rPr>
          <w:rFonts w:ascii="宋体" w:hAnsi="宋体" w:cs="宋体"/>
          <w:b/>
          <w:bCs/>
        </w:rPr>
        <w:t>2</w:t>
      </w:r>
      <w:r w:rsidRPr="00F50B51">
        <w:rPr>
          <w:rFonts w:ascii="宋体" w:hAnsi="宋体" w:cs="宋体"/>
          <w:b/>
          <w:bCs/>
        </w:rPr>
        <w:t>、或有事项</w:t>
      </w:r>
      <w:bookmarkEnd w:id="446"/>
    </w:p>
    <w:p w:rsidR="0058782B" w:rsidRPr="00F50B51" w:rsidRDefault="00F80EE7">
      <w:pPr>
        <w:keepNext/>
        <w:keepLines/>
        <w:spacing w:before="300" w:after="300" w:line="280" w:lineRule="exact"/>
        <w:outlineLvl w:val="3"/>
        <w:rPr>
          <w:rFonts w:ascii="宋体" w:eastAsia="宋体" w:hAnsi="宋体" w:cs="宋体"/>
          <w:b/>
          <w:bCs/>
          <w:szCs w:val="21"/>
        </w:rPr>
      </w:pPr>
      <w:bookmarkStart w:id="447" w:name="_Toc989335"/>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资产负债表日存在的重要或有事项</w:t>
      </w:r>
      <w:bookmarkEnd w:id="447"/>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48" w:name="_Toc989336"/>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公司没有需要披露的重要或有事项，也应予以说明</w:t>
      </w:r>
      <w:bookmarkEnd w:id="448"/>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公司不存在需要披露的重要或有事项。</w:t>
      </w:r>
    </w:p>
    <w:p w:rsidR="0058782B" w:rsidRPr="00F50B51" w:rsidRDefault="00F80EE7">
      <w:pPr>
        <w:pStyle w:val="3"/>
        <w:spacing w:line="280" w:lineRule="exact"/>
        <w:jc w:val="left"/>
        <w:rPr>
          <w:rFonts w:ascii="宋体" w:hAnsi="宋体" w:cs="宋体"/>
          <w:b/>
          <w:bCs/>
        </w:rPr>
      </w:pPr>
      <w:bookmarkStart w:id="449" w:name="_Toc989337"/>
      <w:r w:rsidRPr="00F50B51">
        <w:rPr>
          <w:rFonts w:ascii="宋体" w:hAnsi="宋体" w:cs="宋体"/>
          <w:b/>
          <w:bCs/>
        </w:rPr>
        <w:t>3</w:t>
      </w:r>
      <w:r w:rsidRPr="00F50B51">
        <w:rPr>
          <w:rFonts w:ascii="宋体" w:hAnsi="宋体" w:cs="宋体"/>
          <w:b/>
          <w:bCs/>
        </w:rPr>
        <w:t>、其他</w:t>
      </w:r>
      <w:bookmarkEnd w:id="449"/>
    </w:p>
    <w:p w:rsidR="0058782B" w:rsidRPr="00F50B51" w:rsidRDefault="0058782B">
      <w:pPr>
        <w:rPr>
          <w:sz w:val="18"/>
          <w:szCs w:val="18"/>
        </w:rPr>
      </w:pPr>
    </w:p>
    <w:p w:rsidR="0058782B" w:rsidRPr="00F50B51" w:rsidRDefault="00F80EE7">
      <w:pPr>
        <w:pStyle w:val="2"/>
        <w:spacing w:before="300" w:after="300" w:line="320" w:lineRule="exact"/>
        <w:rPr>
          <w:rFonts w:ascii="宋体" w:eastAsia="宋体" w:hAnsi="宋体" w:cs="宋体"/>
          <w:b/>
          <w:bCs/>
          <w:sz w:val="24"/>
          <w:szCs w:val="24"/>
        </w:rPr>
      </w:pPr>
      <w:bookmarkStart w:id="450" w:name="_Toc989338"/>
      <w:r w:rsidRPr="00F50B51">
        <w:rPr>
          <w:rFonts w:ascii="宋体" w:eastAsia="宋体" w:hAnsi="宋体" w:cs="宋体"/>
          <w:b/>
          <w:bCs/>
          <w:sz w:val="24"/>
          <w:szCs w:val="24"/>
        </w:rPr>
        <w:t>十五、资产负债表日后事项</w:t>
      </w:r>
      <w:bookmarkEnd w:id="450"/>
    </w:p>
    <w:p w:rsidR="0058782B" w:rsidRPr="00F50B51" w:rsidRDefault="00F80EE7">
      <w:pPr>
        <w:pStyle w:val="3"/>
        <w:spacing w:line="280" w:lineRule="exact"/>
        <w:jc w:val="left"/>
        <w:rPr>
          <w:rFonts w:ascii="宋体" w:hAnsi="宋体" w:cs="宋体"/>
          <w:b/>
          <w:bCs/>
        </w:rPr>
      </w:pPr>
      <w:bookmarkStart w:id="451" w:name="_Toc989339"/>
      <w:r w:rsidRPr="00F50B51">
        <w:rPr>
          <w:rFonts w:ascii="宋体" w:hAnsi="宋体" w:cs="宋体"/>
          <w:b/>
          <w:bCs/>
        </w:rPr>
        <w:t>1</w:t>
      </w:r>
      <w:r w:rsidRPr="00F50B51">
        <w:rPr>
          <w:rFonts w:ascii="宋体" w:hAnsi="宋体" w:cs="宋体"/>
          <w:b/>
          <w:bCs/>
        </w:rPr>
        <w:t>、重要的非调整事项</w:t>
      </w:r>
      <w:bookmarkEnd w:id="45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对财务状况和经营成果的影响数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无法估计影响数的原因</w:t>
            </w:r>
          </w:p>
        </w:tc>
      </w:tr>
    </w:tbl>
    <w:p w:rsidR="0058782B" w:rsidRPr="00F50B51" w:rsidRDefault="00F80EE7">
      <w:pPr>
        <w:pStyle w:val="3"/>
        <w:spacing w:line="280" w:lineRule="exact"/>
        <w:jc w:val="left"/>
        <w:rPr>
          <w:rFonts w:ascii="宋体" w:hAnsi="宋体" w:cs="宋体"/>
          <w:b/>
          <w:bCs/>
        </w:rPr>
      </w:pPr>
      <w:bookmarkStart w:id="452" w:name="_Toc989340"/>
      <w:r w:rsidRPr="00F50B51">
        <w:rPr>
          <w:rFonts w:ascii="宋体" w:hAnsi="宋体" w:cs="宋体"/>
          <w:b/>
          <w:bCs/>
        </w:rPr>
        <w:t>2</w:t>
      </w:r>
      <w:r w:rsidRPr="00F50B51">
        <w:rPr>
          <w:rFonts w:ascii="宋体" w:hAnsi="宋体" w:cs="宋体"/>
          <w:b/>
          <w:bCs/>
        </w:rPr>
        <w:t>、利润分配情况</w:t>
      </w:r>
      <w:bookmarkEnd w:id="45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p w:rsidR="0058782B" w:rsidRPr="00F50B51" w:rsidRDefault="00F80EE7">
      <w:pPr>
        <w:pStyle w:val="3"/>
        <w:spacing w:line="280" w:lineRule="exact"/>
        <w:jc w:val="left"/>
        <w:rPr>
          <w:rFonts w:ascii="宋体" w:hAnsi="宋体" w:cs="宋体"/>
          <w:b/>
          <w:bCs/>
        </w:rPr>
      </w:pPr>
      <w:bookmarkStart w:id="453" w:name="_Toc989341"/>
      <w:r w:rsidRPr="00F50B51">
        <w:rPr>
          <w:rFonts w:ascii="宋体" w:hAnsi="宋体" w:cs="宋体"/>
          <w:b/>
          <w:bCs/>
        </w:rPr>
        <w:t>3</w:t>
      </w:r>
      <w:r w:rsidRPr="00F50B51">
        <w:rPr>
          <w:rFonts w:ascii="宋体" w:hAnsi="宋体" w:cs="宋体"/>
          <w:b/>
          <w:bCs/>
        </w:rPr>
        <w:t>、销售退回</w:t>
      </w:r>
      <w:bookmarkEnd w:id="453"/>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54" w:name="_Toc989342"/>
      <w:r w:rsidRPr="00F50B51">
        <w:rPr>
          <w:rFonts w:ascii="宋体" w:hAnsi="宋体" w:cs="宋体"/>
          <w:b/>
          <w:bCs/>
        </w:rPr>
        <w:t>4</w:t>
      </w:r>
      <w:r w:rsidRPr="00F50B51">
        <w:rPr>
          <w:rFonts w:ascii="宋体" w:hAnsi="宋体" w:cs="宋体"/>
          <w:b/>
          <w:bCs/>
        </w:rPr>
        <w:t>、其他资产负债表日后事项说明</w:t>
      </w:r>
      <w:bookmarkEnd w:id="454"/>
    </w:p>
    <w:p w:rsidR="0058782B" w:rsidRPr="00F50B51" w:rsidRDefault="0058782B">
      <w:pPr>
        <w:rPr>
          <w:sz w:val="18"/>
          <w:szCs w:val="18"/>
        </w:rPr>
      </w:pPr>
    </w:p>
    <w:p w:rsidR="0058782B" w:rsidRPr="00F50B51" w:rsidRDefault="00F80EE7">
      <w:pPr>
        <w:pStyle w:val="2"/>
        <w:spacing w:before="300" w:after="300" w:line="320" w:lineRule="exact"/>
        <w:rPr>
          <w:rFonts w:ascii="宋体" w:eastAsia="宋体" w:hAnsi="宋体" w:cs="宋体"/>
          <w:b/>
          <w:bCs/>
          <w:sz w:val="24"/>
          <w:szCs w:val="24"/>
        </w:rPr>
      </w:pPr>
      <w:bookmarkStart w:id="455" w:name="_Toc989343"/>
      <w:r w:rsidRPr="00F50B51">
        <w:rPr>
          <w:rFonts w:ascii="宋体" w:eastAsia="宋体" w:hAnsi="宋体" w:cs="宋体"/>
          <w:b/>
          <w:bCs/>
          <w:sz w:val="24"/>
          <w:szCs w:val="24"/>
        </w:rPr>
        <w:t>十六、其他重要事项</w:t>
      </w:r>
      <w:bookmarkEnd w:id="455"/>
    </w:p>
    <w:p w:rsidR="0058782B" w:rsidRPr="00F50B51" w:rsidRDefault="00F80EE7">
      <w:pPr>
        <w:pStyle w:val="3"/>
        <w:spacing w:line="280" w:lineRule="exact"/>
        <w:jc w:val="left"/>
        <w:rPr>
          <w:rFonts w:ascii="宋体" w:hAnsi="宋体" w:cs="宋体"/>
          <w:b/>
          <w:bCs/>
        </w:rPr>
      </w:pPr>
      <w:bookmarkStart w:id="456" w:name="_Toc989344"/>
      <w:r w:rsidRPr="00F50B51">
        <w:rPr>
          <w:rFonts w:ascii="宋体" w:hAnsi="宋体" w:cs="宋体"/>
          <w:b/>
          <w:bCs/>
        </w:rPr>
        <w:t>1</w:t>
      </w:r>
      <w:r w:rsidRPr="00F50B51">
        <w:rPr>
          <w:rFonts w:ascii="宋体" w:hAnsi="宋体" w:cs="宋体"/>
          <w:b/>
          <w:bCs/>
        </w:rPr>
        <w:t>、前期会计差错更正</w:t>
      </w:r>
      <w:bookmarkEnd w:id="456"/>
    </w:p>
    <w:p w:rsidR="0058782B" w:rsidRPr="00F50B51" w:rsidRDefault="00F80EE7">
      <w:pPr>
        <w:keepNext/>
        <w:keepLines/>
        <w:spacing w:before="300" w:after="300" w:line="280" w:lineRule="exact"/>
        <w:outlineLvl w:val="3"/>
        <w:rPr>
          <w:rFonts w:ascii="宋体" w:eastAsia="宋体" w:hAnsi="宋体" w:cs="宋体"/>
          <w:b/>
          <w:bCs/>
          <w:szCs w:val="21"/>
        </w:rPr>
      </w:pPr>
      <w:bookmarkStart w:id="457" w:name="_Toc989345"/>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追溯重述法</w:t>
      </w:r>
      <w:bookmarkEnd w:id="45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会计差错更正的内容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处理程序</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受影响的各个比较期间报表项目名称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累积影响数</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458" w:name="_Toc989346"/>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未来适用法</w:t>
      </w:r>
      <w:bookmarkEnd w:id="458"/>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会计差错更正的内容</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批准程序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采用未来适用法的原因</w:t>
            </w:r>
          </w:p>
        </w:tc>
      </w:tr>
    </w:tbl>
    <w:p w:rsidR="0058782B" w:rsidRPr="00F50B51" w:rsidRDefault="00F80EE7">
      <w:pPr>
        <w:pStyle w:val="3"/>
        <w:spacing w:line="280" w:lineRule="exact"/>
        <w:jc w:val="left"/>
        <w:rPr>
          <w:rFonts w:ascii="宋体" w:hAnsi="宋体" w:cs="宋体"/>
          <w:b/>
          <w:bCs/>
        </w:rPr>
      </w:pPr>
      <w:bookmarkStart w:id="459" w:name="_Toc989347"/>
      <w:r w:rsidRPr="00F50B51">
        <w:rPr>
          <w:rFonts w:ascii="宋体" w:hAnsi="宋体" w:cs="宋体"/>
          <w:b/>
          <w:bCs/>
        </w:rPr>
        <w:t>2</w:t>
      </w:r>
      <w:r w:rsidRPr="00F50B51">
        <w:rPr>
          <w:rFonts w:ascii="宋体" w:hAnsi="宋体" w:cs="宋体"/>
          <w:b/>
          <w:bCs/>
        </w:rPr>
        <w:t>、债务重组</w:t>
      </w:r>
      <w:bookmarkEnd w:id="459"/>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60" w:name="_Toc989348"/>
      <w:r w:rsidRPr="00F50B51">
        <w:rPr>
          <w:rFonts w:ascii="宋体" w:hAnsi="宋体" w:cs="宋体"/>
          <w:b/>
          <w:bCs/>
        </w:rPr>
        <w:t>3</w:t>
      </w:r>
      <w:r w:rsidRPr="00F50B51">
        <w:rPr>
          <w:rFonts w:ascii="宋体" w:hAnsi="宋体" w:cs="宋体"/>
          <w:b/>
          <w:bCs/>
        </w:rPr>
        <w:t>、资产置换</w:t>
      </w:r>
      <w:bookmarkEnd w:id="460"/>
    </w:p>
    <w:p w:rsidR="0058782B" w:rsidRPr="00F50B51" w:rsidRDefault="00F80EE7">
      <w:pPr>
        <w:keepNext/>
        <w:keepLines/>
        <w:spacing w:before="300" w:after="300" w:line="280" w:lineRule="exact"/>
        <w:outlineLvl w:val="3"/>
        <w:rPr>
          <w:rFonts w:ascii="宋体" w:eastAsia="宋体" w:hAnsi="宋体" w:cs="宋体"/>
          <w:b/>
          <w:bCs/>
          <w:szCs w:val="21"/>
        </w:rPr>
      </w:pPr>
      <w:bookmarkStart w:id="461" w:name="_Toc989349"/>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非货币性资产交换</w:t>
      </w:r>
      <w:bookmarkEnd w:id="461"/>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62" w:name="_Toc989350"/>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其他资产置换</w:t>
      </w:r>
      <w:bookmarkEnd w:id="462"/>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63" w:name="_Toc989351"/>
      <w:r w:rsidRPr="00F50B51">
        <w:rPr>
          <w:rFonts w:ascii="宋体" w:hAnsi="宋体" w:cs="宋体"/>
          <w:b/>
          <w:bCs/>
        </w:rPr>
        <w:t>4</w:t>
      </w:r>
      <w:r w:rsidRPr="00F50B51">
        <w:rPr>
          <w:rFonts w:ascii="宋体" w:hAnsi="宋体" w:cs="宋体"/>
          <w:b/>
          <w:bCs/>
        </w:rPr>
        <w:t>、年金计划</w:t>
      </w:r>
      <w:bookmarkEnd w:id="463"/>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64" w:name="_Toc989352"/>
      <w:r w:rsidRPr="00F50B51">
        <w:rPr>
          <w:rFonts w:ascii="宋体" w:hAnsi="宋体" w:cs="宋体"/>
          <w:b/>
          <w:bCs/>
        </w:rPr>
        <w:t>5</w:t>
      </w:r>
      <w:r w:rsidRPr="00F50B51">
        <w:rPr>
          <w:rFonts w:ascii="宋体" w:hAnsi="宋体" w:cs="宋体"/>
          <w:b/>
          <w:bCs/>
        </w:rPr>
        <w:t>、终止经营</w:t>
      </w:r>
      <w:bookmarkEnd w:id="46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费用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利润总额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所得税费用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净利润</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归属于母公司所有者的终止经营利润</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65" w:name="_Toc989353"/>
      <w:r w:rsidRPr="00F50B51">
        <w:rPr>
          <w:rFonts w:ascii="宋体" w:hAnsi="宋体" w:cs="宋体"/>
          <w:b/>
          <w:bCs/>
        </w:rPr>
        <w:t>6</w:t>
      </w:r>
      <w:r w:rsidRPr="00F50B51">
        <w:rPr>
          <w:rFonts w:ascii="宋体" w:hAnsi="宋体" w:cs="宋体"/>
          <w:b/>
          <w:bCs/>
        </w:rPr>
        <w:t>、分部信息</w:t>
      </w:r>
      <w:bookmarkEnd w:id="465"/>
    </w:p>
    <w:p w:rsidR="0058782B" w:rsidRPr="00F50B51" w:rsidRDefault="00F80EE7">
      <w:pPr>
        <w:keepNext/>
        <w:keepLines/>
        <w:spacing w:before="300" w:after="300" w:line="280" w:lineRule="exact"/>
        <w:outlineLvl w:val="3"/>
        <w:rPr>
          <w:rFonts w:ascii="宋体" w:eastAsia="宋体" w:hAnsi="宋体" w:cs="宋体"/>
          <w:b/>
          <w:bCs/>
          <w:szCs w:val="21"/>
        </w:rPr>
      </w:pPr>
      <w:bookmarkStart w:id="466" w:name="_Toc989354"/>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报告分部的确定依据与会计政策</w:t>
      </w:r>
      <w:bookmarkEnd w:id="466"/>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67" w:name="_Toc989355"/>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报告分部的财务信息</w:t>
      </w:r>
      <w:bookmarkEnd w:id="46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分部间抵销</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468" w:name="_Toc989356"/>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公司无报告分部的，或者不能披露各报告分部的资产总额和负债总额的，应说明原因</w:t>
      </w:r>
      <w:bookmarkEnd w:id="468"/>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69" w:name="_Toc989357"/>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其他说明</w:t>
      </w:r>
      <w:bookmarkEnd w:id="469"/>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70" w:name="_Toc989358"/>
      <w:r w:rsidRPr="00F50B51">
        <w:rPr>
          <w:rFonts w:ascii="宋体" w:hAnsi="宋体" w:cs="宋体"/>
          <w:b/>
          <w:bCs/>
        </w:rPr>
        <w:t>7</w:t>
      </w:r>
      <w:r w:rsidRPr="00F50B51">
        <w:rPr>
          <w:rFonts w:ascii="宋体" w:hAnsi="宋体" w:cs="宋体"/>
          <w:b/>
          <w:bCs/>
        </w:rPr>
        <w:t>、其他对投资者决策有影响的重要交易和事项</w:t>
      </w:r>
      <w:bookmarkEnd w:id="470"/>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71" w:name="_Toc989359"/>
      <w:r w:rsidRPr="00F50B51">
        <w:rPr>
          <w:rFonts w:ascii="宋体" w:hAnsi="宋体" w:cs="宋体"/>
          <w:b/>
          <w:bCs/>
        </w:rPr>
        <w:t>8</w:t>
      </w:r>
      <w:r w:rsidRPr="00F50B51">
        <w:rPr>
          <w:rFonts w:ascii="宋体" w:hAnsi="宋体" w:cs="宋体"/>
          <w:b/>
          <w:bCs/>
        </w:rPr>
        <w:t>、其他</w:t>
      </w:r>
      <w:bookmarkEnd w:id="471"/>
    </w:p>
    <w:p w:rsidR="0058782B" w:rsidRPr="00F50B51" w:rsidRDefault="0058782B">
      <w:pPr>
        <w:rPr>
          <w:sz w:val="18"/>
          <w:szCs w:val="18"/>
        </w:rPr>
      </w:pPr>
    </w:p>
    <w:p w:rsidR="0058782B" w:rsidRPr="00F50B51" w:rsidRDefault="00F80EE7">
      <w:pPr>
        <w:pStyle w:val="2"/>
        <w:spacing w:before="300" w:after="300" w:line="320" w:lineRule="exact"/>
        <w:rPr>
          <w:rFonts w:ascii="宋体" w:eastAsia="宋体" w:hAnsi="宋体" w:cs="宋体"/>
          <w:b/>
          <w:bCs/>
          <w:sz w:val="24"/>
          <w:szCs w:val="24"/>
        </w:rPr>
      </w:pPr>
      <w:bookmarkStart w:id="472" w:name="_Toc989360"/>
      <w:r w:rsidRPr="00F50B51">
        <w:rPr>
          <w:rFonts w:ascii="宋体" w:eastAsia="宋体" w:hAnsi="宋体" w:cs="宋体"/>
          <w:b/>
          <w:bCs/>
          <w:sz w:val="24"/>
          <w:szCs w:val="24"/>
        </w:rPr>
        <w:t>十七、母公司财务报表主要项目注释</w:t>
      </w:r>
      <w:bookmarkEnd w:id="472"/>
    </w:p>
    <w:p w:rsidR="0058782B" w:rsidRPr="00F50B51" w:rsidRDefault="00F80EE7">
      <w:pPr>
        <w:pStyle w:val="3"/>
        <w:spacing w:line="280" w:lineRule="exact"/>
        <w:jc w:val="left"/>
        <w:rPr>
          <w:rFonts w:ascii="宋体" w:hAnsi="宋体" w:cs="宋体"/>
          <w:b/>
          <w:bCs/>
        </w:rPr>
      </w:pPr>
      <w:bookmarkStart w:id="473" w:name="_Toc989361"/>
      <w:r w:rsidRPr="00F50B51">
        <w:rPr>
          <w:rFonts w:ascii="宋体" w:hAnsi="宋体" w:cs="宋体"/>
          <w:b/>
          <w:bCs/>
        </w:rPr>
        <w:t>1</w:t>
      </w:r>
      <w:r w:rsidRPr="00F50B51">
        <w:rPr>
          <w:rFonts w:ascii="宋体" w:hAnsi="宋体" w:cs="宋体"/>
          <w:b/>
          <w:bCs/>
        </w:rPr>
        <w:t>、应收账款</w:t>
      </w:r>
      <w:bookmarkEnd w:id="473"/>
    </w:p>
    <w:p w:rsidR="0058782B" w:rsidRPr="00F50B51" w:rsidRDefault="00F80EE7">
      <w:pPr>
        <w:keepNext/>
        <w:keepLines/>
        <w:spacing w:before="300" w:after="300" w:line="280" w:lineRule="exact"/>
        <w:outlineLvl w:val="3"/>
        <w:rPr>
          <w:rFonts w:ascii="宋体" w:eastAsia="宋体" w:hAnsi="宋体" w:cs="宋体"/>
          <w:b/>
          <w:bCs/>
          <w:szCs w:val="21"/>
        </w:rPr>
      </w:pPr>
      <w:bookmarkStart w:id="474" w:name="_Toc989362"/>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应收账款分类披露</w:t>
      </w:r>
      <w:bookmarkEnd w:id="47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5"/>
        <w:gridCol w:w="876"/>
        <w:gridCol w:w="877"/>
        <w:gridCol w:w="876"/>
        <w:gridCol w:w="877"/>
        <w:gridCol w:w="876"/>
        <w:gridCol w:w="876"/>
        <w:gridCol w:w="877"/>
        <w:gridCol w:w="876"/>
        <w:gridCol w:w="877"/>
        <w:gridCol w:w="876"/>
      </w:tblGrid>
      <w:tr w:rsidR="0058782B" w:rsidRPr="00F50B51">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r>
      <w:tr w:rsidR="0058782B" w:rsidRPr="00F50B51">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按组合计提坏账准备的应收账款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308,273,963.85</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3,861,998.16</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1.25%</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304,411,965.69</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195,852,748.69</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2,595,575.19</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193,257,173.50</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100" w:firstLine="180"/>
              <w:rPr>
                <w:rFonts w:ascii="宋体" w:eastAsia="宋体" w:hAnsi="宋体" w:cs="宋体"/>
                <w:sz w:val="18"/>
                <w:szCs w:val="18"/>
              </w:rPr>
            </w:pPr>
            <w:r w:rsidRPr="00F50B51">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组合</w:t>
            </w:r>
            <w:r w:rsidRPr="00F50B51">
              <w:rPr>
                <w:rFonts w:ascii="宋体" w:eastAsia="宋体" w:hAnsi="宋体" w:cs="宋体"/>
                <w:sz w:val="18"/>
                <w:szCs w:val="18"/>
              </w:rPr>
              <w:t>1</w:t>
            </w:r>
            <w:r w:rsidRPr="00F50B51">
              <w:rPr>
                <w:rFonts w:ascii="宋体" w:eastAsia="宋体" w:hAnsi="宋体" w:cs="宋体"/>
                <w:sz w:val="18"/>
                <w:szCs w:val="18"/>
              </w:rPr>
              <w:t>：应收直销客户</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288,598,354.27</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93.61%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3,759,886.85</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284,838,467.42</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149,729,930.06</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76.45%</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2,100,936.90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147,628,993.16</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组合</w:t>
            </w:r>
            <w:r w:rsidRPr="00F50B51">
              <w:rPr>
                <w:rFonts w:ascii="宋体" w:eastAsia="宋体" w:hAnsi="宋体" w:cs="宋体"/>
                <w:sz w:val="18"/>
                <w:szCs w:val="18"/>
              </w:rPr>
              <w:t>2</w:t>
            </w:r>
            <w:r w:rsidRPr="00F50B51">
              <w:rPr>
                <w:rFonts w:ascii="宋体" w:eastAsia="宋体" w:hAnsi="宋体" w:cs="宋体"/>
                <w:sz w:val="18"/>
                <w:szCs w:val="18"/>
              </w:rPr>
              <w:t>：应收经销客户</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5,104,120.67</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1.66%</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102,111.31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5,002,009.36</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24,724,916.57</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12.62%</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494,638.29</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24,230,278.28</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组合</w:t>
            </w:r>
            <w:r w:rsidRPr="00F50B51">
              <w:rPr>
                <w:rFonts w:ascii="宋体" w:eastAsia="宋体" w:hAnsi="宋体" w:cs="宋体"/>
                <w:sz w:val="18"/>
                <w:szCs w:val="18"/>
              </w:rPr>
              <w:t>3</w:t>
            </w:r>
            <w:r w:rsidRPr="00F50B51">
              <w:rPr>
                <w:rFonts w:ascii="宋体" w:eastAsia="宋体" w:hAnsi="宋体" w:cs="宋体"/>
                <w:sz w:val="18"/>
                <w:szCs w:val="18"/>
              </w:rPr>
              <w:t>：应收合并范围内关联方客户</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14,571,488.91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4.73%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14,571,488.91</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21,397,902.06</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10.93%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21,397,902.06</w:t>
            </w:r>
          </w:p>
        </w:tc>
      </w:tr>
      <w:tr w:rsidR="0058782B" w:rsidRPr="00F50B51">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308,273,963.85</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3,861,998.16</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1.25%</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304,411,965.69</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195,852,748.69</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2,595,575.19</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1.33%</w:t>
            </w:r>
          </w:p>
        </w:tc>
        <w:tc>
          <w:tcPr>
            <w:tcW w:w="87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193,257,173.50</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按组合计提坏账准备：</w:t>
      </w:r>
      <w:r w:rsidRPr="00F50B51">
        <w:rPr>
          <w:rFonts w:ascii="宋体" w:eastAsia="宋体" w:hAnsi="宋体" w:cs="宋体"/>
          <w:sz w:val="18"/>
          <w:szCs w:val="18"/>
        </w:rPr>
        <w:t>3,759,886.85</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计提比例</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288,230,698.69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3,414,469.91</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1.18%</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1-2</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14,244.98</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1,364.16</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9.58%</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2-3</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3,194.02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1,473.85</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46.14%</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3-4</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43,395.76</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35,758.11</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82.40%</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4-5</w:t>
            </w:r>
            <w:r w:rsidRPr="00F50B51">
              <w:rPr>
                <w:rFonts w:ascii="宋体" w:eastAsia="宋体" w:hAnsi="宋体" w:cs="宋体"/>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年以上</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306,820.82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306,820.82</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100.00%</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288,598,354.27</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3,759,886.85</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确定该组合依据的说明：</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按组合计提坏账准备：</w:t>
      </w:r>
      <w:r w:rsidRPr="00F50B51">
        <w:rPr>
          <w:rFonts w:ascii="宋体" w:eastAsia="宋体" w:hAnsi="宋体" w:cs="宋体"/>
          <w:sz w:val="18"/>
          <w:szCs w:val="18"/>
        </w:rPr>
        <w:t>102,111.31</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计提比例</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5,104,120.67</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102,111.31</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2.00%</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5,104,120.67</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102,111.31</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确定该组合依据的说明：</w:t>
      </w:r>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如是按照预期信用损失一般模型计提应收账款坏账准备，请参照其他应收款的披露方式披露坏账准备的相关信息：</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按账龄披露</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年以内（含</w:t>
            </w:r>
            <w:r w:rsidRPr="00F50B51">
              <w:rPr>
                <w:rFonts w:ascii="宋体" w:eastAsia="宋体" w:hAnsi="宋体" w:cs="宋体"/>
                <w:sz w:val="18"/>
                <w:szCs w:val="18"/>
              </w:rPr>
              <w:t>1</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302,424,385.46</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至</w:t>
            </w:r>
            <w:r w:rsidRPr="00F50B51">
              <w:rPr>
                <w:rFonts w:ascii="宋体" w:eastAsia="宋体" w:hAnsi="宋体" w:cs="宋体"/>
                <w:sz w:val="18"/>
                <w:szCs w:val="18"/>
              </w:rPr>
              <w:t>2</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1,853,333.48</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至</w:t>
            </w:r>
            <w:r w:rsidRPr="00F50B51">
              <w:rPr>
                <w:rFonts w:ascii="宋体" w:eastAsia="宋体" w:hAnsi="宋体" w:cs="宋体"/>
                <w:sz w:val="18"/>
                <w:szCs w:val="18"/>
              </w:rPr>
              <w:t>3</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3,646,028.33</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年以上</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350,216.58</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3</w:t>
            </w:r>
            <w:r w:rsidRPr="00F50B51">
              <w:rPr>
                <w:rFonts w:ascii="宋体" w:eastAsia="宋体" w:hAnsi="宋体" w:cs="宋体"/>
                <w:sz w:val="18"/>
                <w:szCs w:val="18"/>
              </w:rPr>
              <w:t>至</w:t>
            </w:r>
            <w:r w:rsidRPr="00F50B51">
              <w:rPr>
                <w:rFonts w:ascii="宋体" w:eastAsia="宋体" w:hAnsi="宋体" w:cs="宋体"/>
                <w:sz w:val="18"/>
                <w:szCs w:val="18"/>
              </w:rPr>
              <w:t>4</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43,395.76</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ind w:firstLineChars="200" w:firstLine="360"/>
              <w:rPr>
                <w:rFonts w:ascii="宋体" w:eastAsia="宋体" w:hAnsi="宋体" w:cs="宋体"/>
                <w:sz w:val="18"/>
                <w:szCs w:val="18"/>
              </w:rPr>
            </w:pPr>
            <w:r w:rsidRPr="00F50B51">
              <w:rPr>
                <w:rFonts w:ascii="宋体" w:eastAsia="宋体" w:hAnsi="宋体" w:cs="宋体"/>
                <w:sz w:val="18"/>
                <w:szCs w:val="18"/>
              </w:rPr>
              <w:t>5</w:t>
            </w:r>
            <w:r w:rsidRPr="00F50B51">
              <w:rPr>
                <w:rFonts w:ascii="宋体" w:eastAsia="宋体" w:hAnsi="宋体" w:cs="宋体"/>
                <w:sz w:val="18"/>
                <w:szCs w:val="18"/>
              </w:rPr>
              <w:t>年以上</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306,820.82</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308,273,963.85</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475" w:name="_Toc989363"/>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本期计提、收回或转回的坏账准备情况</w:t>
      </w:r>
      <w:bookmarkEnd w:id="475"/>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本期计提坏账准备情况：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坏账准备</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2,595,575.19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1,266,422.97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3,861,998.16</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2,595,575.19</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1,266,422.97</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3,861,998.16</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其中本期坏账准备收回或转回金额重要的：</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收回或转回金额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收回方式</w:t>
            </w:r>
          </w:p>
        </w:tc>
      </w:tr>
    </w:tbl>
    <w:p w:rsidR="0058782B" w:rsidRPr="00F50B51" w:rsidRDefault="0058782B">
      <w:pPr>
        <w:spacing w:before="100" w:after="100" w:line="0" w:lineRule="atLeast"/>
      </w:pP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76" w:name="_Toc989364"/>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本期实际核销的应收账款情况</w:t>
      </w:r>
      <w:bookmarkEnd w:id="47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核销金额</w:t>
            </w:r>
          </w:p>
        </w:tc>
      </w:tr>
    </w:tbl>
    <w:p w:rsidR="0058782B" w:rsidRPr="00F50B51" w:rsidRDefault="00F80EE7">
      <w:pPr>
        <w:spacing w:before="100" w:after="40" w:line="240" w:lineRule="exact"/>
        <w:rPr>
          <w:rFonts w:ascii="宋体" w:eastAsia="宋体" w:hAnsi="宋体" w:cs="宋体"/>
          <w:sz w:val="18"/>
          <w:szCs w:val="18"/>
        </w:rPr>
      </w:pPr>
      <w:r w:rsidRPr="00F50B51">
        <w:rPr>
          <w:rFonts w:ascii="宋体" w:eastAsia="宋体" w:hAnsi="宋体" w:cs="宋体"/>
          <w:sz w:val="18"/>
          <w:szCs w:val="18"/>
        </w:rPr>
        <w:t>其中重要的应收账款核销情况：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应收账款性质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款项是否由关联交易产生</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应收账款核销说明：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77" w:name="_Toc989365"/>
      <w:r w:rsidRPr="00F50B51">
        <w:rPr>
          <w:rFonts w:ascii="宋体" w:eastAsia="宋体" w:hAnsi="宋体" w:cs="宋体"/>
          <w:b/>
          <w:bCs/>
          <w:szCs w:val="21"/>
        </w:rPr>
        <w:t>（</w:t>
      </w:r>
      <w:r w:rsidRPr="00F50B51">
        <w:rPr>
          <w:rFonts w:ascii="宋体" w:eastAsia="宋体" w:hAnsi="宋体" w:cs="宋体"/>
          <w:b/>
          <w:bCs/>
          <w:szCs w:val="21"/>
        </w:rPr>
        <w:t>4</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按欠款方归集的期末余额前五名的应收账款情况</w:t>
      </w:r>
      <w:bookmarkEnd w:id="47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应收账款期末余额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占应收账款期末余额合计数的比例</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坏账准备期末余额</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第一名</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33,281,832.60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10.80%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394,266.88</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第二名</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29,925,378.30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9.71%</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354,505.27</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第三名</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19,437,500.00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6.31%</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230,262.63</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第四名</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18,950,695.54</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6.15%</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224,495.79</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第五名</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17,753,558.63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5.76%</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210,314.14</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119,348,965.07</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38.73%</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478" w:name="_Toc989366"/>
      <w:r w:rsidRPr="00F50B51">
        <w:rPr>
          <w:rFonts w:ascii="宋体" w:eastAsia="宋体" w:hAnsi="宋体" w:cs="宋体"/>
          <w:b/>
          <w:bCs/>
          <w:szCs w:val="21"/>
        </w:rPr>
        <w:t>（</w:t>
      </w:r>
      <w:r w:rsidRPr="00F50B51">
        <w:rPr>
          <w:rFonts w:ascii="宋体" w:eastAsia="宋体" w:hAnsi="宋体" w:cs="宋体"/>
          <w:b/>
          <w:bCs/>
          <w:szCs w:val="21"/>
        </w:rPr>
        <w:t>5</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因金融资产转移而终止确认的应收账款</w:t>
      </w:r>
      <w:bookmarkEnd w:id="478"/>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Cs w:val="21"/>
        </w:rPr>
      </w:pPr>
      <w:bookmarkStart w:id="479" w:name="_Toc989367"/>
      <w:r w:rsidRPr="00F50B51">
        <w:rPr>
          <w:rFonts w:ascii="宋体" w:eastAsia="宋体" w:hAnsi="宋体" w:cs="宋体"/>
          <w:b/>
          <w:bCs/>
          <w:szCs w:val="21"/>
        </w:rPr>
        <w:t>（</w:t>
      </w:r>
      <w:r w:rsidRPr="00F50B51">
        <w:rPr>
          <w:rFonts w:ascii="宋体" w:eastAsia="宋体" w:hAnsi="宋体" w:cs="宋体"/>
          <w:b/>
          <w:bCs/>
          <w:szCs w:val="21"/>
        </w:rPr>
        <w:t>6</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转移应收账款且继续涉入形成的资产、负债金额</w:t>
      </w:r>
      <w:bookmarkEnd w:id="479"/>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80" w:name="_Toc989368"/>
      <w:r w:rsidRPr="00F50B51">
        <w:rPr>
          <w:rFonts w:ascii="宋体" w:hAnsi="宋体" w:cs="宋体"/>
          <w:b/>
          <w:bCs/>
        </w:rPr>
        <w:t>2</w:t>
      </w:r>
      <w:r w:rsidRPr="00F50B51">
        <w:rPr>
          <w:rFonts w:ascii="宋体" w:hAnsi="宋体" w:cs="宋体"/>
          <w:b/>
          <w:bCs/>
        </w:rPr>
        <w:t>、其他应收款</w:t>
      </w:r>
      <w:bookmarkEnd w:id="48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62,874,650.99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71,781,082.27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62,874,650.99</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71,781,082.27</w:t>
            </w:r>
          </w:p>
        </w:tc>
      </w:tr>
    </w:tbl>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481" w:name="_Toc989369"/>
      <w:r w:rsidRPr="00F50B51">
        <w:rPr>
          <w:rFonts w:ascii="宋体" w:eastAsia="宋体" w:hAnsi="宋体" w:cs="宋体"/>
          <w:b/>
          <w:bCs/>
          <w:sz w:val="18"/>
          <w:szCs w:val="18"/>
        </w:rPr>
        <w:t>（</w:t>
      </w:r>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应收利息</w:t>
      </w:r>
      <w:bookmarkEnd w:id="481"/>
    </w:p>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82" w:name="_Toc989370"/>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应收利息分类</w:t>
      </w:r>
      <w:bookmarkEnd w:id="48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83" w:name="_Toc989371"/>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重要逾期利息</w:t>
      </w:r>
      <w:bookmarkEnd w:id="48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借款单位</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逾期时间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逾期原因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是否发生减值及其判断依据</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84" w:name="_Toc989372"/>
      <w:r w:rsidRPr="00F50B51">
        <w:rPr>
          <w:rFonts w:ascii="宋体" w:eastAsia="宋体" w:hAnsi="宋体" w:cs="宋体"/>
          <w:b/>
          <w:bCs/>
          <w:sz w:val="18"/>
          <w:szCs w:val="18"/>
        </w:rPr>
        <w:t>3</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坏账准备计提情况</w:t>
      </w:r>
      <w:bookmarkEnd w:id="484"/>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485" w:name="_Toc989373"/>
      <w:r w:rsidRPr="00F50B51">
        <w:rPr>
          <w:rFonts w:ascii="宋体" w:eastAsia="宋体" w:hAnsi="宋体" w:cs="宋体"/>
          <w:b/>
          <w:bCs/>
          <w:sz w:val="18"/>
          <w:szCs w:val="18"/>
        </w:rPr>
        <w:t>（</w:t>
      </w:r>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应收股利</w:t>
      </w:r>
      <w:bookmarkEnd w:id="485"/>
    </w:p>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86" w:name="_Toc989374"/>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应收股利分类</w:t>
      </w:r>
      <w:bookmarkEnd w:id="486"/>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r w:rsidRPr="00F50B51">
              <w:rPr>
                <w:rFonts w:ascii="宋体" w:eastAsia="宋体" w:hAnsi="宋体" w:cs="宋体"/>
                <w:sz w:val="18"/>
                <w:szCs w:val="18"/>
              </w:rPr>
              <w:t>(</w:t>
            </w:r>
            <w:r w:rsidRPr="00F50B51">
              <w:rPr>
                <w:rFonts w:ascii="宋体" w:eastAsia="宋体" w:hAnsi="宋体" w:cs="宋体"/>
                <w:sz w:val="18"/>
                <w:szCs w:val="18"/>
              </w:rPr>
              <w:t>或被投资单位</w:t>
            </w:r>
            <w:r w:rsidRPr="00F50B51">
              <w:rPr>
                <w:rFonts w:ascii="宋体" w:eastAsia="宋体" w:hAnsi="宋体" w:cs="宋体"/>
                <w:sz w:val="18"/>
                <w:szCs w:val="18"/>
              </w:rPr>
              <w:t>)</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bl>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87" w:name="_Toc989375"/>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重要的账龄超过</w:t>
      </w:r>
      <w:r w:rsidRPr="00F50B51">
        <w:rPr>
          <w:rFonts w:ascii="宋体" w:eastAsia="宋体" w:hAnsi="宋体" w:cs="宋体"/>
          <w:b/>
          <w:bCs/>
          <w:sz w:val="18"/>
          <w:szCs w:val="18"/>
        </w:rPr>
        <w:t>1</w:t>
      </w:r>
      <w:r w:rsidRPr="00F50B51">
        <w:rPr>
          <w:rFonts w:ascii="宋体" w:eastAsia="宋体" w:hAnsi="宋体" w:cs="宋体"/>
          <w:b/>
          <w:bCs/>
          <w:sz w:val="18"/>
          <w:szCs w:val="18"/>
        </w:rPr>
        <w:t>年的应收股利</w:t>
      </w:r>
      <w:bookmarkEnd w:id="487"/>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r w:rsidRPr="00F50B51">
              <w:rPr>
                <w:rFonts w:ascii="宋体" w:eastAsia="宋体" w:hAnsi="宋体" w:cs="宋体"/>
                <w:sz w:val="18"/>
                <w:szCs w:val="18"/>
              </w:rPr>
              <w:t>(</w:t>
            </w:r>
            <w:r w:rsidRPr="00F50B51">
              <w:rPr>
                <w:rFonts w:ascii="宋体" w:eastAsia="宋体" w:hAnsi="宋体" w:cs="宋体"/>
                <w:sz w:val="18"/>
                <w:szCs w:val="18"/>
              </w:rPr>
              <w:t>或被投资单位</w:t>
            </w:r>
            <w:r w:rsidRPr="00F50B51">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账龄</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未收回的原因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是否发生减值及其判断依据</w:t>
            </w:r>
          </w:p>
        </w:tc>
      </w:tr>
    </w:tbl>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88" w:name="_Toc989376"/>
      <w:r w:rsidRPr="00F50B51">
        <w:rPr>
          <w:rFonts w:ascii="宋体" w:eastAsia="宋体" w:hAnsi="宋体" w:cs="宋体"/>
          <w:b/>
          <w:bCs/>
          <w:sz w:val="18"/>
          <w:szCs w:val="18"/>
        </w:rPr>
        <w:t>3</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坏账准备计提情况</w:t>
      </w:r>
      <w:bookmarkEnd w:id="488"/>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keepNext/>
        <w:keepLines/>
        <w:spacing w:before="300" w:after="300" w:line="280" w:lineRule="exact"/>
        <w:outlineLvl w:val="3"/>
        <w:rPr>
          <w:rFonts w:ascii="宋体" w:eastAsia="宋体" w:hAnsi="宋体" w:cs="宋体"/>
          <w:b/>
          <w:bCs/>
          <w:sz w:val="18"/>
          <w:szCs w:val="18"/>
        </w:rPr>
      </w:pPr>
      <w:bookmarkStart w:id="489" w:name="_Toc989377"/>
      <w:r w:rsidRPr="00F50B51">
        <w:rPr>
          <w:rFonts w:ascii="宋体" w:eastAsia="宋体" w:hAnsi="宋体" w:cs="宋体"/>
          <w:b/>
          <w:bCs/>
          <w:sz w:val="18"/>
          <w:szCs w:val="18"/>
        </w:rPr>
        <w:t>（</w:t>
      </w:r>
      <w:r w:rsidRPr="00F50B51">
        <w:rPr>
          <w:rFonts w:ascii="宋体" w:eastAsia="宋体" w:hAnsi="宋体" w:cs="宋体"/>
          <w:b/>
          <w:bCs/>
          <w:sz w:val="18"/>
          <w:szCs w:val="18"/>
        </w:rPr>
        <w:t>3</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其他应收款</w:t>
      </w:r>
      <w:bookmarkEnd w:id="489"/>
    </w:p>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90" w:name="_Toc989378"/>
      <w:r w:rsidRPr="00F50B51">
        <w:rPr>
          <w:rFonts w:ascii="宋体" w:eastAsia="宋体" w:hAnsi="宋体" w:cs="宋体"/>
          <w:b/>
          <w:bCs/>
          <w:sz w:val="18"/>
          <w:szCs w:val="18"/>
        </w:rPr>
        <w:t>1</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其他应收款按款项性质分类情况</w:t>
      </w:r>
      <w:bookmarkEnd w:id="49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款项性质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期初账面余额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往来款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62,197,993.24</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71,112,163.15</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社保类</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231,044.50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241,226.91</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员工借款</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409,661.42</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388,759.08</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公积金</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75,354.87</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76,428.87</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62,914,054.03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71,818,578.01</w:t>
            </w:r>
          </w:p>
        </w:tc>
      </w:tr>
    </w:tbl>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91" w:name="_Toc989379"/>
      <w:r w:rsidRPr="00F50B51">
        <w:rPr>
          <w:rFonts w:ascii="宋体" w:eastAsia="宋体" w:hAnsi="宋体" w:cs="宋体"/>
          <w:b/>
          <w:bCs/>
          <w:sz w:val="18"/>
          <w:szCs w:val="18"/>
        </w:rPr>
        <w:t>2</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坏账准备计提情况</w:t>
      </w:r>
      <w:bookmarkEnd w:id="491"/>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r>
      <w:tr w:rsidR="0058782B" w:rsidRPr="00F50B5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未来</w:t>
            </w:r>
            <w:r w:rsidRPr="00F50B51">
              <w:rPr>
                <w:rFonts w:ascii="宋体" w:eastAsia="宋体" w:hAnsi="宋体" w:cs="宋体"/>
                <w:sz w:val="18"/>
                <w:szCs w:val="18"/>
              </w:rPr>
              <w:t>12</w:t>
            </w:r>
            <w:r w:rsidRPr="00F50B51">
              <w:rPr>
                <w:rFonts w:ascii="宋体" w:eastAsia="宋体" w:hAnsi="宋体" w:cs="宋体"/>
                <w:sz w:val="18"/>
                <w:szCs w:val="18"/>
              </w:rPr>
              <w:t>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整个存续期预期信用损失</w:t>
            </w:r>
            <w:r w:rsidRPr="00F50B51">
              <w:rPr>
                <w:rFonts w:ascii="宋体" w:eastAsia="宋体" w:hAnsi="宋体" w:cs="宋体"/>
                <w:sz w:val="18"/>
                <w:szCs w:val="18"/>
              </w:rPr>
              <w:t>(</w:t>
            </w:r>
            <w:r w:rsidRPr="00F50B51">
              <w:rPr>
                <w:rFonts w:ascii="宋体" w:eastAsia="宋体" w:hAnsi="宋体" w:cs="宋体"/>
                <w:sz w:val="18"/>
                <w:szCs w:val="18"/>
              </w:rPr>
              <w:t>未发生信用减值</w:t>
            </w:r>
            <w:r w:rsidRPr="00F50B51">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整个存续期预期信用损失</w:t>
            </w:r>
            <w:r w:rsidRPr="00F50B51">
              <w:rPr>
                <w:rFonts w:ascii="宋体" w:eastAsia="宋体" w:hAnsi="宋体" w:cs="宋体"/>
                <w:sz w:val="18"/>
                <w:szCs w:val="18"/>
              </w:rPr>
              <w:t>(</w:t>
            </w:r>
            <w:r w:rsidRPr="00F50B51">
              <w:rPr>
                <w:rFonts w:ascii="宋体" w:eastAsia="宋体" w:hAnsi="宋体" w:cs="宋体"/>
                <w:sz w:val="18"/>
                <w:szCs w:val="18"/>
              </w:rPr>
              <w:t>已发生信用减值</w:t>
            </w:r>
            <w:r w:rsidRPr="00F50B51">
              <w:rPr>
                <w:rFonts w:ascii="宋体" w:eastAsia="宋体" w:hAnsi="宋体" w:cs="宋体"/>
                <w:sz w:val="18"/>
                <w:szCs w:val="18"/>
              </w:rPr>
              <w:t>)</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1</w:t>
            </w:r>
            <w:r w:rsidRPr="00F50B51">
              <w:rPr>
                <w:rFonts w:ascii="宋体" w:eastAsia="宋体" w:hAnsi="宋体" w:cs="宋体"/>
                <w:sz w:val="18"/>
                <w:szCs w:val="18"/>
              </w:rPr>
              <w:t>月</w:t>
            </w:r>
            <w:r w:rsidRPr="00F50B51">
              <w:rPr>
                <w:rFonts w:ascii="宋体" w:eastAsia="宋体" w:hAnsi="宋体" w:cs="宋体"/>
                <w:sz w:val="18"/>
                <w:szCs w:val="18"/>
              </w:rPr>
              <w:t>1</w:t>
            </w:r>
            <w:r w:rsidRPr="00F50B51">
              <w:rPr>
                <w:rFonts w:ascii="宋体" w:eastAsia="宋体" w:hAnsi="宋体" w:cs="宋体"/>
                <w:sz w:val="18"/>
                <w:szCs w:val="18"/>
              </w:rPr>
              <w:t>日余额</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37,495.74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37,495.74</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1</w:t>
            </w:r>
            <w:r w:rsidRPr="00F50B51">
              <w:rPr>
                <w:rFonts w:ascii="宋体" w:eastAsia="宋体" w:hAnsi="宋体" w:cs="宋体"/>
                <w:sz w:val="18"/>
                <w:szCs w:val="18"/>
              </w:rPr>
              <w:t>月</w:t>
            </w:r>
            <w:r w:rsidRPr="00F50B51">
              <w:rPr>
                <w:rFonts w:ascii="宋体" w:eastAsia="宋体" w:hAnsi="宋体" w:cs="宋体"/>
                <w:sz w:val="18"/>
                <w:szCs w:val="18"/>
              </w:rPr>
              <w:t>1</w:t>
            </w:r>
            <w:r w:rsidRPr="00F50B51">
              <w:rPr>
                <w:rFonts w:ascii="宋体" w:eastAsia="宋体" w:hAnsi="宋体" w:cs="宋体"/>
                <w:sz w:val="18"/>
                <w:szCs w:val="18"/>
              </w:rPr>
              <w:t>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本期计提</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1,907.30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1,907.30</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2022</w:t>
            </w:r>
            <w:r w:rsidRPr="00F50B51">
              <w:rPr>
                <w:rFonts w:ascii="宋体" w:eastAsia="宋体" w:hAnsi="宋体" w:cs="宋体"/>
                <w:sz w:val="18"/>
                <w:szCs w:val="18"/>
              </w:rPr>
              <w:t>年</w:t>
            </w:r>
            <w:r w:rsidRPr="00F50B51">
              <w:rPr>
                <w:rFonts w:ascii="宋体" w:eastAsia="宋体" w:hAnsi="宋体" w:cs="宋体"/>
                <w:sz w:val="18"/>
                <w:szCs w:val="18"/>
              </w:rPr>
              <w:t>6</w:t>
            </w:r>
            <w:r w:rsidRPr="00F50B51">
              <w:rPr>
                <w:rFonts w:ascii="宋体" w:eastAsia="宋体" w:hAnsi="宋体" w:cs="宋体"/>
                <w:sz w:val="18"/>
                <w:szCs w:val="18"/>
              </w:rPr>
              <w:t>月</w:t>
            </w:r>
            <w:r w:rsidRPr="00F50B51">
              <w:rPr>
                <w:rFonts w:ascii="宋体" w:eastAsia="宋体" w:hAnsi="宋体" w:cs="宋体"/>
                <w:sz w:val="18"/>
                <w:szCs w:val="18"/>
              </w:rPr>
              <w:t>30</w:t>
            </w:r>
            <w:r w:rsidRPr="00F50B51">
              <w:rPr>
                <w:rFonts w:ascii="宋体" w:eastAsia="宋体" w:hAnsi="宋体" w:cs="宋体"/>
                <w:sz w:val="18"/>
                <w:szCs w:val="18"/>
              </w:rPr>
              <w:t>日余额</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39,403.04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39,403.04</w:t>
            </w:r>
          </w:p>
        </w:tc>
      </w:tr>
    </w:tbl>
    <w:p w:rsidR="0058782B" w:rsidRPr="00F50B51" w:rsidRDefault="00F80EE7">
      <w:pPr>
        <w:spacing w:before="100" w:after="40" w:line="240" w:lineRule="exact"/>
        <w:rPr>
          <w:rFonts w:ascii="宋体" w:eastAsia="宋体" w:hAnsi="宋体" w:cs="宋体"/>
          <w:sz w:val="18"/>
          <w:szCs w:val="18"/>
        </w:rPr>
      </w:pPr>
      <w:r w:rsidRPr="00F50B51">
        <w:rPr>
          <w:rFonts w:ascii="宋体" w:eastAsia="宋体" w:hAnsi="宋体" w:cs="宋体"/>
          <w:sz w:val="18"/>
          <w:szCs w:val="18"/>
        </w:rPr>
        <w:t>损失准备本期变动金额重大的账面余额变动情况</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spacing w:before="100" w:after="40" w:line="240" w:lineRule="exact"/>
        <w:rPr>
          <w:rFonts w:ascii="宋体" w:eastAsia="宋体" w:hAnsi="宋体" w:cs="宋体"/>
          <w:sz w:val="18"/>
          <w:szCs w:val="18"/>
        </w:rPr>
      </w:pPr>
      <w:r w:rsidRPr="00F50B51">
        <w:rPr>
          <w:rFonts w:ascii="宋体" w:eastAsia="宋体" w:hAnsi="宋体" w:cs="宋体"/>
          <w:sz w:val="18"/>
          <w:szCs w:val="18"/>
        </w:rPr>
        <w:t>按账龄披露</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年以内（含</w:t>
            </w:r>
            <w:r w:rsidRPr="00F50B51">
              <w:rPr>
                <w:rFonts w:ascii="宋体" w:eastAsia="宋体" w:hAnsi="宋体" w:cs="宋体"/>
                <w:sz w:val="18"/>
                <w:szCs w:val="18"/>
              </w:rPr>
              <w:t>1</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31,644,060.79</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至</w:t>
            </w:r>
            <w:r w:rsidRPr="00F50B51">
              <w:rPr>
                <w:rFonts w:ascii="宋体" w:eastAsia="宋体" w:hAnsi="宋体" w:cs="宋体"/>
                <w:sz w:val="18"/>
                <w:szCs w:val="18"/>
              </w:rPr>
              <w:t>2</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27,972,000.00</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2</w:t>
            </w:r>
            <w:r w:rsidRPr="00F50B51">
              <w:rPr>
                <w:rFonts w:ascii="宋体" w:eastAsia="宋体" w:hAnsi="宋体" w:cs="宋体"/>
                <w:sz w:val="18"/>
                <w:szCs w:val="18"/>
              </w:rPr>
              <w:t>至</w:t>
            </w:r>
            <w:r w:rsidRPr="00F50B51">
              <w:rPr>
                <w:rFonts w:ascii="宋体" w:eastAsia="宋体" w:hAnsi="宋体" w:cs="宋体"/>
                <w:sz w:val="18"/>
                <w:szCs w:val="18"/>
              </w:rPr>
              <w:t>3</w:t>
            </w:r>
            <w:r w:rsidRPr="00F50B51">
              <w:rPr>
                <w:rFonts w:ascii="宋体" w:eastAsia="宋体" w:hAnsi="宋体" w:cs="宋体"/>
                <w:sz w:val="18"/>
                <w:szCs w:val="18"/>
              </w:rPr>
              <w:t>年</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3,297,993.24</w:t>
            </w:r>
          </w:p>
        </w:tc>
      </w:tr>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62,914,054.03</w:t>
            </w:r>
          </w:p>
        </w:tc>
      </w:tr>
    </w:tbl>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92" w:name="_Toc989380"/>
      <w:r w:rsidRPr="00F50B51">
        <w:rPr>
          <w:rFonts w:ascii="宋体" w:eastAsia="宋体" w:hAnsi="宋体" w:cs="宋体"/>
          <w:b/>
          <w:bCs/>
          <w:sz w:val="18"/>
          <w:szCs w:val="18"/>
        </w:rPr>
        <w:t>3</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本期计提、收回或转回的坏账准备情况</w:t>
      </w:r>
      <w:bookmarkEnd w:id="492"/>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本期计提坏账准备情况：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组合计提的坏账准备</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37,495.74</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1,907.30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39,403.04</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37,495.74</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1,907.30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39,403.04</w:t>
            </w:r>
          </w:p>
        </w:tc>
      </w:tr>
    </w:tbl>
    <w:p w:rsidR="0058782B" w:rsidRPr="00F50B51" w:rsidRDefault="0058782B">
      <w:pPr>
        <w:rPr>
          <w:sz w:val="18"/>
          <w:szCs w:val="18"/>
        </w:rPr>
      </w:pPr>
    </w:p>
    <w:p w:rsidR="0058782B" w:rsidRPr="00F50B51" w:rsidRDefault="00F80EE7">
      <w:pPr>
        <w:spacing w:before="100" w:after="40" w:line="240" w:lineRule="exact"/>
        <w:rPr>
          <w:rFonts w:ascii="宋体" w:eastAsia="宋体" w:hAnsi="宋体" w:cs="宋体"/>
          <w:sz w:val="18"/>
          <w:szCs w:val="18"/>
        </w:rPr>
      </w:pPr>
      <w:r w:rsidRPr="00F50B51">
        <w:rPr>
          <w:rFonts w:ascii="宋体" w:eastAsia="宋体" w:hAnsi="宋体" w:cs="宋体"/>
          <w:sz w:val="18"/>
          <w:szCs w:val="18"/>
        </w:rPr>
        <w:t>其中本期坏账准备转回或收回金额重要的：</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转回或收回金额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收回方式</w:t>
            </w:r>
          </w:p>
        </w:tc>
      </w:tr>
    </w:tbl>
    <w:p w:rsidR="0058782B" w:rsidRPr="00F50B51" w:rsidRDefault="0058782B">
      <w:pPr>
        <w:rPr>
          <w:sz w:val="18"/>
          <w:szCs w:val="18"/>
        </w:rPr>
      </w:pPr>
    </w:p>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93" w:name="_Toc989381"/>
      <w:r w:rsidRPr="00F50B51">
        <w:rPr>
          <w:rFonts w:ascii="宋体" w:eastAsia="宋体" w:hAnsi="宋体" w:cs="宋体"/>
          <w:b/>
          <w:bCs/>
          <w:sz w:val="18"/>
          <w:szCs w:val="18"/>
        </w:rPr>
        <w:t>4</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本期实际核销的其他应收款情况</w:t>
      </w:r>
      <w:bookmarkEnd w:id="49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820"/>
        <w:gridCol w:w="4819"/>
      </w:tblGrid>
      <w:tr w:rsidR="0058782B" w:rsidRPr="00F50B5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核销金额</w:t>
            </w:r>
          </w:p>
        </w:tc>
      </w:tr>
    </w:tbl>
    <w:p w:rsidR="0058782B" w:rsidRPr="00F50B51" w:rsidRDefault="00F80EE7">
      <w:pPr>
        <w:spacing w:before="100" w:after="40" w:line="240" w:lineRule="exact"/>
        <w:rPr>
          <w:rFonts w:ascii="宋体" w:eastAsia="宋体" w:hAnsi="宋体" w:cs="宋体"/>
          <w:sz w:val="18"/>
          <w:szCs w:val="18"/>
        </w:rPr>
      </w:pPr>
      <w:r w:rsidRPr="00F50B51">
        <w:rPr>
          <w:rFonts w:ascii="宋体" w:eastAsia="宋体" w:hAnsi="宋体" w:cs="宋体"/>
          <w:sz w:val="18"/>
          <w:szCs w:val="18"/>
        </w:rPr>
        <w:t>其中重要的其他应收款核销情况：</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其他应收款性质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款项是否由关联交易产生</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其他应收款核销说明：</w:t>
      </w:r>
    </w:p>
    <w:p w:rsidR="0058782B" w:rsidRPr="00F50B51" w:rsidRDefault="0058782B">
      <w:pPr>
        <w:rPr>
          <w:sz w:val="18"/>
          <w:szCs w:val="18"/>
        </w:rPr>
      </w:pPr>
    </w:p>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94" w:name="_Toc989382"/>
      <w:r w:rsidRPr="00F50B51">
        <w:rPr>
          <w:rFonts w:ascii="宋体" w:eastAsia="宋体" w:hAnsi="宋体" w:cs="宋体"/>
          <w:b/>
          <w:bCs/>
          <w:sz w:val="18"/>
          <w:szCs w:val="18"/>
        </w:rPr>
        <w:t>5</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按欠款方归集的期末余额前五名的其他应收款情况</w:t>
      </w:r>
      <w:bookmarkEnd w:id="494"/>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606"/>
        <w:gridCol w:w="1606"/>
        <w:gridCol w:w="1606"/>
        <w:gridCol w:w="1607"/>
        <w:gridCol w:w="1607"/>
        <w:gridCol w:w="1607"/>
      </w:tblGrid>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款项的性质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账龄</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占其他应收款期末余额合计数的比例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坏账准备期末余额</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广东翔鹭精密制造有限公司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往来款</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62,197,993.24</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r w:rsidRPr="00F50B51">
              <w:rPr>
                <w:rFonts w:ascii="宋体" w:eastAsia="宋体" w:hAnsi="宋体" w:cs="宋体"/>
                <w:sz w:val="18"/>
                <w:szCs w:val="18"/>
              </w:rPr>
              <w:t>1-2</w:t>
            </w:r>
            <w:r w:rsidRPr="00F50B51">
              <w:rPr>
                <w:rFonts w:ascii="宋体" w:eastAsia="宋体" w:hAnsi="宋体" w:cs="宋体"/>
                <w:sz w:val="18"/>
                <w:szCs w:val="18"/>
              </w:rPr>
              <w:t>年、</w:t>
            </w:r>
            <w:r w:rsidRPr="00F50B51">
              <w:rPr>
                <w:rFonts w:ascii="宋体" w:eastAsia="宋体" w:hAnsi="宋体" w:cs="宋体"/>
                <w:sz w:val="18"/>
                <w:szCs w:val="18"/>
              </w:rPr>
              <w:t>2-3</w:t>
            </w:r>
            <w:r w:rsidRPr="00F50B51">
              <w:rPr>
                <w:rFonts w:ascii="宋体" w:eastAsia="宋体" w:hAnsi="宋体" w:cs="宋体"/>
                <w:sz w:val="18"/>
                <w:szCs w:val="18"/>
              </w:rPr>
              <w:t>年</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98.86%</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社保费</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社保公积金</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231,044.50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0.37%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11,552.23</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住房公积金</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社保公积金</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75,354.87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0.12%</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3,767.74</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王金水</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员工借款</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72,000.00</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1-2</w:t>
            </w:r>
            <w:r w:rsidRPr="00F50B51">
              <w:rPr>
                <w:rFonts w:ascii="宋体" w:eastAsia="宋体" w:hAnsi="宋体" w:cs="宋体"/>
                <w:sz w:val="18"/>
                <w:szCs w:val="18"/>
              </w:rPr>
              <w:t>年</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0.11%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7,200.00</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部门留存</w:t>
            </w:r>
            <w:r w:rsidRPr="00F50B51">
              <w:rPr>
                <w:rFonts w:ascii="宋体" w:eastAsia="宋体" w:hAnsi="宋体" w:cs="宋体"/>
                <w:sz w:val="18"/>
                <w:szCs w:val="18"/>
              </w:rPr>
              <w:t>-</w:t>
            </w:r>
            <w:r w:rsidRPr="00F50B51">
              <w:rPr>
                <w:rFonts w:ascii="宋体" w:eastAsia="宋体" w:hAnsi="宋体" w:cs="宋体"/>
                <w:sz w:val="18"/>
                <w:szCs w:val="18"/>
              </w:rPr>
              <w:t>生产二部</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部门备用金</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67,305.69</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1</w:t>
            </w:r>
            <w:r w:rsidRPr="00F50B51">
              <w:rPr>
                <w:rFonts w:ascii="宋体" w:eastAsia="宋体" w:hAnsi="宋体" w:cs="宋体"/>
                <w:sz w:val="18"/>
                <w:szCs w:val="18"/>
              </w:rPr>
              <w:t>年以内</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0.11%</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3,365.28</w:t>
            </w:r>
          </w:p>
        </w:tc>
      </w:tr>
      <w:tr w:rsidR="0058782B" w:rsidRPr="00F50B5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62,643,698.30</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99.57%</w:t>
            </w:r>
          </w:p>
        </w:tc>
        <w:tc>
          <w:tcPr>
            <w:tcW w:w="1606"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25,885.25</w:t>
            </w:r>
          </w:p>
        </w:tc>
      </w:tr>
    </w:tbl>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95" w:name="_Toc989383"/>
      <w:r w:rsidRPr="00F50B51">
        <w:rPr>
          <w:rFonts w:ascii="宋体" w:eastAsia="宋体" w:hAnsi="宋体" w:cs="宋体"/>
          <w:b/>
          <w:bCs/>
          <w:sz w:val="18"/>
          <w:szCs w:val="18"/>
        </w:rPr>
        <w:t>6</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涉及政府补助的应收款项</w:t>
      </w:r>
      <w:bookmarkEnd w:id="495"/>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政府补助项目名称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期末账龄</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预计收取的时间、金额及依据</w:t>
            </w:r>
          </w:p>
        </w:tc>
      </w:tr>
    </w:tbl>
    <w:p w:rsidR="0058782B" w:rsidRPr="00F50B51" w:rsidRDefault="0058782B">
      <w:pPr>
        <w:rPr>
          <w:sz w:val="18"/>
          <w:szCs w:val="18"/>
        </w:rPr>
      </w:pPr>
    </w:p>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96" w:name="_Toc989384"/>
      <w:r w:rsidRPr="00F50B51">
        <w:rPr>
          <w:rFonts w:ascii="宋体" w:eastAsia="宋体" w:hAnsi="宋体" w:cs="宋体"/>
          <w:b/>
          <w:bCs/>
          <w:sz w:val="18"/>
          <w:szCs w:val="18"/>
        </w:rPr>
        <w:t>7</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因金融资产转移而终止确认的其他应收款</w:t>
      </w:r>
      <w:bookmarkEnd w:id="496"/>
    </w:p>
    <w:p w:rsidR="0058782B" w:rsidRPr="00F50B51" w:rsidRDefault="0058782B">
      <w:pPr>
        <w:rPr>
          <w:sz w:val="18"/>
          <w:szCs w:val="18"/>
        </w:rPr>
      </w:pPr>
    </w:p>
    <w:p w:rsidR="0058782B" w:rsidRPr="00F50B51" w:rsidRDefault="00F80EE7">
      <w:pPr>
        <w:keepNext/>
        <w:keepLines/>
        <w:spacing w:before="300" w:after="300" w:line="280" w:lineRule="exact"/>
        <w:outlineLvl w:val="4"/>
        <w:rPr>
          <w:rFonts w:ascii="宋体" w:eastAsia="宋体" w:hAnsi="宋体" w:cs="宋体"/>
          <w:b/>
          <w:bCs/>
          <w:sz w:val="18"/>
          <w:szCs w:val="18"/>
        </w:rPr>
      </w:pPr>
      <w:bookmarkStart w:id="497" w:name="_Toc989385"/>
      <w:r w:rsidRPr="00F50B51">
        <w:rPr>
          <w:rFonts w:ascii="宋体" w:eastAsia="宋体" w:hAnsi="宋体" w:cs="宋体"/>
          <w:b/>
          <w:bCs/>
          <w:sz w:val="18"/>
          <w:szCs w:val="18"/>
        </w:rPr>
        <w:t>8</w:t>
      </w:r>
      <w:r w:rsidRPr="00F50B51">
        <w:rPr>
          <w:rFonts w:ascii="宋体" w:eastAsia="宋体" w:hAnsi="宋体" w:cs="宋体"/>
          <w:b/>
          <w:bCs/>
          <w:sz w:val="18"/>
          <w:szCs w:val="18"/>
        </w:rPr>
        <w:t>）</w:t>
      </w:r>
      <w:r w:rsidRPr="00F50B51">
        <w:rPr>
          <w:rFonts w:ascii="宋体" w:eastAsia="宋体" w:hAnsi="宋体" w:cs="宋体"/>
          <w:b/>
          <w:bCs/>
          <w:sz w:val="18"/>
          <w:szCs w:val="18"/>
        </w:rPr>
        <w:t xml:space="preserve"> </w:t>
      </w:r>
      <w:r w:rsidRPr="00F50B51">
        <w:rPr>
          <w:rFonts w:ascii="宋体" w:eastAsia="宋体" w:hAnsi="宋体" w:cs="宋体"/>
          <w:b/>
          <w:bCs/>
          <w:sz w:val="18"/>
          <w:szCs w:val="18"/>
        </w:rPr>
        <w:t>转移其他应收款且继续涉入形成的资产、负债金额</w:t>
      </w:r>
      <w:bookmarkEnd w:id="497"/>
    </w:p>
    <w:p w:rsidR="0058782B" w:rsidRPr="00F50B51" w:rsidRDefault="0058782B">
      <w:pPr>
        <w:rPr>
          <w:sz w:val="18"/>
          <w:szCs w:val="18"/>
        </w:rPr>
      </w:pP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498" w:name="_Toc989386"/>
      <w:r w:rsidRPr="00F50B51">
        <w:rPr>
          <w:rFonts w:ascii="宋体" w:hAnsi="宋体" w:cs="宋体"/>
          <w:b/>
          <w:bCs/>
        </w:rPr>
        <w:t>3</w:t>
      </w:r>
      <w:r w:rsidRPr="00F50B51">
        <w:rPr>
          <w:rFonts w:ascii="宋体" w:hAnsi="宋体" w:cs="宋体"/>
          <w:b/>
          <w:bCs/>
        </w:rPr>
        <w:t>、长期股权投资</w:t>
      </w:r>
      <w:bookmarkEnd w:id="498"/>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77"/>
        <w:gridCol w:w="1377"/>
        <w:gridCol w:w="1377"/>
        <w:gridCol w:w="1377"/>
        <w:gridCol w:w="1377"/>
        <w:gridCol w:w="1377"/>
        <w:gridCol w:w="1377"/>
      </w:tblGrid>
      <w:tr w:rsidR="0058782B" w:rsidRPr="00F50B5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w:t>
            </w:r>
          </w:p>
        </w:tc>
      </w:tr>
      <w:tr w:rsidR="0058782B" w:rsidRPr="00F50B5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账面价值</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对子公司投资</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498,845,022.98</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498,845,022.98</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493,500,000.00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493,500,000.00</w:t>
            </w:r>
          </w:p>
        </w:tc>
      </w:tr>
      <w:tr w:rsidR="0058782B" w:rsidRPr="00F50B5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498,845,022.98</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498,845,022.98</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493,500,000.00</w:t>
            </w: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493,500,000.00</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499" w:name="_Toc989387"/>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对子公司投资</w:t>
      </w:r>
      <w:bookmarkEnd w:id="499"/>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04"/>
        <w:gridCol w:w="1205"/>
        <w:gridCol w:w="1205"/>
        <w:gridCol w:w="1205"/>
        <w:gridCol w:w="1205"/>
        <w:gridCol w:w="1205"/>
        <w:gridCol w:w="1205"/>
        <w:gridCol w:w="1205"/>
      </w:tblGrid>
      <w:tr w:rsidR="0058782B" w:rsidRPr="00F50B51">
        <w:trPr>
          <w:trHeight w:val="240"/>
        </w:trPr>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被投资单位</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期初余额（账面价值）</w:t>
            </w:r>
          </w:p>
        </w:tc>
        <w:tc>
          <w:tcPr>
            <w:tcW w:w="4820"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本期增减变动</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期末余额（账面价值）</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减值准备期末余额</w:t>
            </w:r>
          </w:p>
        </w:tc>
      </w:tr>
      <w:tr w:rsidR="0058782B" w:rsidRPr="00F50B51">
        <w:trPr>
          <w:trHeight w:val="240"/>
        </w:trPr>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追加投资</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减少投资</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计提减值准备</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江西翔鹭钨业有限公司</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400,000,000.00</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400,000,000.00</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广东翔鹭精密制造有限公司</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93,500,000.00</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5,345,022.98</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98,845,022.98</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493,500,000.00</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5,345,022.98</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498,845,022.98</w:t>
            </w:r>
          </w:p>
        </w:tc>
        <w:tc>
          <w:tcPr>
            <w:tcW w:w="1205"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500" w:name="_Toc989388"/>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对联营、合营企业投资</w:t>
      </w:r>
      <w:bookmarkEnd w:id="500"/>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03"/>
        <w:gridCol w:w="803"/>
        <w:gridCol w:w="803"/>
        <w:gridCol w:w="803"/>
        <w:gridCol w:w="803"/>
        <w:gridCol w:w="803"/>
        <w:gridCol w:w="803"/>
        <w:gridCol w:w="803"/>
        <w:gridCol w:w="803"/>
        <w:gridCol w:w="805"/>
        <w:gridCol w:w="803"/>
        <w:gridCol w:w="804"/>
      </w:tblGrid>
      <w:tr w:rsidR="0058782B" w:rsidRPr="00F50B51">
        <w:trPr>
          <w:trHeight w:val="240"/>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投资单位</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期初余额（账面价值）</w:t>
            </w:r>
          </w:p>
        </w:tc>
        <w:tc>
          <w:tcPr>
            <w:tcW w:w="6426"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本期增减变动</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期末余额（账面价值）</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减值准备期末余额</w:t>
            </w:r>
          </w:p>
        </w:tc>
      </w:tr>
      <w:tr w:rsidR="0058782B" w:rsidRPr="00F50B51">
        <w:trPr>
          <w:trHeight w:val="240"/>
        </w:trPr>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追加投资</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减少投资</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权益法下确认的投资损益</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其他综合收益调整</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其他权益变动</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宣告发放现金股利或利润</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计提减值准备</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其他</w:t>
            </w:r>
          </w:p>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一、合营企业</w:t>
            </w:r>
          </w:p>
        </w:tc>
      </w:tr>
      <w:tr w:rsidR="0058782B" w:rsidRPr="00F50B51">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二、联营企业</w:t>
            </w:r>
          </w:p>
        </w:tc>
      </w:tr>
    </w:tbl>
    <w:p w:rsidR="0058782B" w:rsidRPr="00F50B51" w:rsidRDefault="00F80EE7">
      <w:pPr>
        <w:keepNext/>
        <w:keepLines/>
        <w:spacing w:before="300" w:after="300" w:line="280" w:lineRule="exact"/>
        <w:outlineLvl w:val="3"/>
        <w:rPr>
          <w:rFonts w:ascii="宋体" w:eastAsia="宋体" w:hAnsi="宋体" w:cs="宋体"/>
          <w:b/>
          <w:bCs/>
          <w:szCs w:val="21"/>
        </w:rPr>
      </w:pPr>
      <w:bookmarkStart w:id="501" w:name="_Toc989389"/>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其他说明</w:t>
      </w:r>
      <w:bookmarkEnd w:id="501"/>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502" w:name="_Toc989390"/>
      <w:r w:rsidRPr="00F50B51">
        <w:rPr>
          <w:rFonts w:ascii="宋体" w:hAnsi="宋体" w:cs="宋体"/>
          <w:b/>
          <w:bCs/>
        </w:rPr>
        <w:t>4</w:t>
      </w:r>
      <w:r w:rsidRPr="00F50B51">
        <w:rPr>
          <w:rFonts w:ascii="宋体" w:hAnsi="宋体" w:cs="宋体"/>
          <w:b/>
          <w:bCs/>
        </w:rPr>
        <w:t>、营业收入和营业成本</w:t>
      </w:r>
      <w:bookmarkEnd w:id="502"/>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成本</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成本</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主营业务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859,395,712.62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772,472,014.88</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787,871,275.56</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703,840,676.35</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其他业务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5,046,643.69</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4,161,248.92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1,060,484.44</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946,197.97</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864,442,356.31</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776,633,263.80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788,931,760.00</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704,786,874.32</w:t>
            </w:r>
          </w:p>
        </w:tc>
      </w:tr>
    </w:tbl>
    <w:p w:rsidR="0058782B" w:rsidRPr="00F50B51" w:rsidRDefault="00F80EE7">
      <w:pPr>
        <w:spacing w:before="100" w:after="40" w:line="240" w:lineRule="exact"/>
        <w:rPr>
          <w:rFonts w:ascii="宋体" w:eastAsia="宋体" w:hAnsi="宋体" w:cs="宋体"/>
          <w:sz w:val="18"/>
          <w:szCs w:val="18"/>
        </w:rPr>
      </w:pPr>
      <w:r w:rsidRPr="00F50B51">
        <w:rPr>
          <w:rFonts w:ascii="宋体" w:eastAsia="宋体" w:hAnsi="宋体" w:cs="宋体"/>
          <w:sz w:val="18"/>
          <w:szCs w:val="18"/>
        </w:rPr>
        <w:t>收入相关信息：</w:t>
      </w:r>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927"/>
        <w:gridCol w:w="1928"/>
        <w:gridCol w:w="1928"/>
        <w:gridCol w:w="1928"/>
        <w:gridCol w:w="1928"/>
      </w:tblGrid>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合同分类</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分部</w:t>
            </w:r>
            <w:r w:rsidRPr="00F50B51">
              <w:rPr>
                <w:rFonts w:ascii="宋体" w:eastAsia="宋体" w:hAnsi="宋体" w:cs="宋体"/>
                <w:sz w:val="18"/>
                <w:szCs w:val="18"/>
              </w:rPr>
              <w:t>1</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分部</w:t>
            </w:r>
            <w:r w:rsidRPr="00F50B51">
              <w:rPr>
                <w:rFonts w:ascii="宋体" w:eastAsia="宋体" w:hAnsi="宋体" w:cs="宋体"/>
                <w:sz w:val="18"/>
                <w:szCs w:val="18"/>
              </w:rPr>
              <w:t>2</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center"/>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合计</w:t>
            </w: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商品类型</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按经营地区分类</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市场或客户类型</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合同类型</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按商品转让的时间分类</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按合同期限分类</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按销售渠道分类</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与履约义务相关的信息：</w:t>
      </w:r>
    </w:p>
    <w:p w:rsidR="0058782B" w:rsidRPr="00F50B51" w:rsidRDefault="00F80EE7">
      <w:pPr>
        <w:pStyle w:val="a7"/>
        <w:rPr>
          <w:sz w:val="18"/>
          <w:szCs w:val="18"/>
        </w:rPr>
      </w:pPr>
      <w:r w:rsidRPr="00F50B51">
        <w:rPr>
          <w:rFonts w:hint="eastAsia"/>
          <w:sz w:val="18"/>
          <w:szCs w:val="18"/>
        </w:rPr>
        <w:t>无</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与分摊至剩余履约义务的交易价格相关的信息：</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本报告期末已签订合同、但尚未履行或尚未履行完毕的履约义务所对应的收入金额为</w:t>
      </w:r>
      <w:r w:rsidRPr="00F50B51">
        <w:rPr>
          <w:rFonts w:ascii="宋体" w:eastAsia="宋体" w:hAnsi="宋体" w:cs="宋体"/>
          <w:sz w:val="18"/>
          <w:szCs w:val="18"/>
        </w:rPr>
        <w:t>92,390,488.98</w:t>
      </w:r>
      <w:r w:rsidRPr="00F50B51">
        <w:rPr>
          <w:rFonts w:ascii="宋体" w:eastAsia="宋体" w:hAnsi="宋体" w:cs="宋体"/>
          <w:sz w:val="18"/>
          <w:szCs w:val="18"/>
        </w:rPr>
        <w:t>元，其中，</w:t>
      </w:r>
      <w:r w:rsidRPr="00F50B51">
        <w:rPr>
          <w:rFonts w:ascii="宋体" w:eastAsia="宋体" w:hAnsi="宋体" w:cs="宋体"/>
          <w:sz w:val="18"/>
          <w:szCs w:val="18"/>
        </w:rPr>
        <w:t>92,390,488.98</w:t>
      </w:r>
      <w:r w:rsidRPr="00F50B51">
        <w:rPr>
          <w:rFonts w:ascii="宋体" w:eastAsia="宋体" w:hAnsi="宋体" w:cs="宋体"/>
          <w:sz w:val="18"/>
          <w:szCs w:val="18"/>
        </w:rPr>
        <w:t>元预计将于</w:t>
      </w:r>
      <w:r w:rsidRPr="00F50B51">
        <w:rPr>
          <w:rFonts w:ascii="宋体" w:eastAsia="宋体" w:hAnsi="宋体" w:cs="宋体"/>
          <w:sz w:val="18"/>
          <w:szCs w:val="18"/>
        </w:rPr>
        <w:t>2022</w:t>
      </w:r>
      <w:r w:rsidRPr="00F50B51">
        <w:rPr>
          <w:rFonts w:ascii="宋体" w:eastAsia="宋体" w:hAnsi="宋体" w:cs="宋体"/>
          <w:sz w:val="18"/>
          <w:szCs w:val="18"/>
        </w:rPr>
        <w:t>年度确认收入。</w:t>
      </w:r>
    </w:p>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其他说明：</w:t>
      </w:r>
    </w:p>
    <w:p w:rsidR="0058782B" w:rsidRPr="00F50B51" w:rsidRDefault="0058782B">
      <w:pPr>
        <w:rPr>
          <w:sz w:val="18"/>
          <w:szCs w:val="18"/>
        </w:rPr>
      </w:pPr>
    </w:p>
    <w:p w:rsidR="0058782B" w:rsidRPr="00F50B51" w:rsidRDefault="00F80EE7">
      <w:pPr>
        <w:pStyle w:val="3"/>
        <w:spacing w:line="280" w:lineRule="exact"/>
        <w:jc w:val="left"/>
        <w:rPr>
          <w:rFonts w:ascii="宋体" w:hAnsi="宋体" w:cs="宋体"/>
          <w:b/>
          <w:bCs/>
        </w:rPr>
      </w:pPr>
      <w:bookmarkStart w:id="503" w:name="_Toc989391"/>
      <w:r w:rsidRPr="00F50B51">
        <w:rPr>
          <w:rFonts w:ascii="宋体" w:hAnsi="宋体" w:cs="宋体"/>
          <w:b/>
          <w:bCs/>
        </w:rPr>
        <w:t>5</w:t>
      </w:r>
      <w:r w:rsidRPr="00F50B51">
        <w:rPr>
          <w:rFonts w:ascii="宋体" w:hAnsi="宋体" w:cs="宋体"/>
          <w:b/>
          <w:bCs/>
        </w:rPr>
        <w:t>、投资收益</w:t>
      </w:r>
      <w:bookmarkEnd w:id="503"/>
    </w:p>
    <w:p w:rsidR="0058782B" w:rsidRPr="00F50B51" w:rsidRDefault="00F80EE7">
      <w:pPr>
        <w:spacing w:before="40" w:after="4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上期发生额</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处置可供出售金融资产等取得的投资收益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737,207.66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737,207.66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jc w:val="right"/>
              <w:rPr>
                <w:rFonts w:ascii="宋体" w:eastAsia="宋体" w:hAnsi="宋体" w:cs="宋体"/>
                <w:sz w:val="18"/>
                <w:szCs w:val="18"/>
              </w:rPr>
            </w:pPr>
          </w:p>
        </w:tc>
      </w:tr>
    </w:tbl>
    <w:p w:rsidR="0058782B" w:rsidRPr="00F50B51" w:rsidRDefault="00F80EE7">
      <w:pPr>
        <w:pStyle w:val="3"/>
        <w:spacing w:line="280" w:lineRule="exact"/>
        <w:jc w:val="left"/>
        <w:rPr>
          <w:rFonts w:ascii="宋体" w:hAnsi="宋体" w:cs="宋体"/>
          <w:b/>
          <w:bCs/>
        </w:rPr>
      </w:pPr>
      <w:bookmarkStart w:id="504" w:name="_Toc989392"/>
      <w:r w:rsidRPr="00F50B51">
        <w:rPr>
          <w:rFonts w:ascii="宋体" w:hAnsi="宋体" w:cs="宋体"/>
          <w:b/>
          <w:bCs/>
        </w:rPr>
        <w:t>6</w:t>
      </w:r>
      <w:r w:rsidRPr="00F50B51">
        <w:rPr>
          <w:rFonts w:ascii="宋体" w:hAnsi="宋体" w:cs="宋体"/>
          <w:b/>
          <w:bCs/>
        </w:rPr>
        <w:t>、其他</w:t>
      </w:r>
      <w:bookmarkEnd w:id="504"/>
    </w:p>
    <w:p w:rsidR="0058782B" w:rsidRPr="00F50B51" w:rsidRDefault="0058782B">
      <w:pPr>
        <w:rPr>
          <w:sz w:val="18"/>
          <w:szCs w:val="18"/>
        </w:rPr>
      </w:pPr>
    </w:p>
    <w:p w:rsidR="0058782B" w:rsidRPr="00F50B51" w:rsidRDefault="00F80EE7">
      <w:pPr>
        <w:pStyle w:val="2"/>
        <w:spacing w:before="300" w:after="300" w:line="320" w:lineRule="exact"/>
        <w:rPr>
          <w:rFonts w:ascii="宋体" w:eastAsia="宋体" w:hAnsi="宋体" w:cs="宋体"/>
          <w:b/>
          <w:bCs/>
          <w:sz w:val="24"/>
          <w:szCs w:val="24"/>
        </w:rPr>
      </w:pPr>
      <w:bookmarkStart w:id="505" w:name="_Toc989393"/>
      <w:r w:rsidRPr="00F50B51">
        <w:rPr>
          <w:rFonts w:ascii="宋体" w:eastAsia="宋体" w:hAnsi="宋体" w:cs="宋体"/>
          <w:b/>
          <w:bCs/>
          <w:sz w:val="24"/>
          <w:szCs w:val="24"/>
        </w:rPr>
        <w:t>十八、补充资料</w:t>
      </w:r>
      <w:bookmarkEnd w:id="505"/>
    </w:p>
    <w:p w:rsidR="0058782B" w:rsidRPr="00F50B51" w:rsidRDefault="00F80EE7">
      <w:pPr>
        <w:pStyle w:val="3"/>
        <w:spacing w:line="280" w:lineRule="exact"/>
        <w:jc w:val="left"/>
        <w:rPr>
          <w:rFonts w:ascii="宋体" w:hAnsi="宋体" w:cs="宋体"/>
          <w:b/>
          <w:bCs/>
        </w:rPr>
      </w:pPr>
      <w:bookmarkStart w:id="506" w:name="_Toc989394"/>
      <w:r w:rsidRPr="00F50B51">
        <w:rPr>
          <w:rFonts w:ascii="宋体" w:hAnsi="宋体" w:cs="宋体"/>
          <w:b/>
          <w:bCs/>
        </w:rPr>
        <w:t>1</w:t>
      </w:r>
      <w:r w:rsidRPr="00F50B51">
        <w:rPr>
          <w:rFonts w:ascii="宋体" w:hAnsi="宋体" w:cs="宋体"/>
          <w:b/>
          <w:bCs/>
        </w:rPr>
        <w:t>、当期非经常性损益明细表</w:t>
      </w:r>
      <w:bookmarkEnd w:id="506"/>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spacing w:before="120" w:after="120" w:line="240" w:lineRule="exact"/>
        <w:jc w:val="right"/>
        <w:rPr>
          <w:rFonts w:ascii="宋体" w:eastAsia="宋体" w:hAnsi="宋体" w:cs="宋体"/>
          <w:sz w:val="18"/>
          <w:szCs w:val="18"/>
        </w:rPr>
      </w:pPr>
      <w:r w:rsidRPr="00F50B51">
        <w:rPr>
          <w:rFonts w:ascii="宋体" w:eastAsia="宋体" w:hAnsi="宋体" w:cs="宋体"/>
          <w:sz w:val="18"/>
          <w:szCs w:val="18"/>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13"/>
        <w:gridCol w:w="3213"/>
        <w:gridCol w:w="3213"/>
      </w:tblGrid>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说明</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非流动资产处置损益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-272,987.33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固定资产报废损失</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计入当期损益的政府补助（与公司正常经营业务密切相关，符合国家政策规定、按照一定标准定额或定量持续享受的政府补助除外）</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7,657,309.26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政府补助</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334,603.66</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处置可供出售金融资产等取得的投资收益</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除上述各项之外的其他营业外收入和支出</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400.60</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收取的违约金</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其他符合非经常性损益定义的损益项目</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197,456.43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个税手续费返还及岗前培训补贴等</w:t>
            </w: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减：所得税影响额</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1,195,782.63</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58782B">
            <w:pPr>
              <w:spacing w:line="240" w:lineRule="exact"/>
              <w:rPr>
                <w:rFonts w:ascii="宋体" w:eastAsia="宋体" w:hAnsi="宋体" w:cs="宋体"/>
                <w:sz w:val="18"/>
                <w:szCs w:val="18"/>
              </w:rPr>
            </w:pPr>
          </w:p>
        </w:tc>
      </w:tr>
      <w:tr w:rsidR="0058782B" w:rsidRPr="00F50B5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6,720,999.99</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w:t>
            </w:r>
          </w:p>
        </w:tc>
      </w:tr>
    </w:tbl>
    <w:p w:rsidR="0058782B" w:rsidRPr="00F50B51" w:rsidRDefault="00F80EE7">
      <w:pPr>
        <w:spacing w:before="100" w:after="100" w:line="240" w:lineRule="exact"/>
        <w:rPr>
          <w:rFonts w:ascii="宋体" w:eastAsia="宋体" w:hAnsi="宋体" w:cs="宋体"/>
          <w:sz w:val="18"/>
          <w:szCs w:val="18"/>
        </w:rPr>
      </w:pPr>
      <w:r w:rsidRPr="00F50B51">
        <w:rPr>
          <w:rFonts w:ascii="宋体" w:eastAsia="宋体" w:hAnsi="宋体" w:cs="宋体"/>
          <w:sz w:val="18"/>
          <w:szCs w:val="18"/>
        </w:rPr>
        <w:t>其他符合非经常性损益定义的损益项目的具体情况：</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sym w:font="Wingdings 2" w:char="F052"/>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t>不适用</w:t>
      </w:r>
    </w:p>
    <w:p w:rsidR="0058782B" w:rsidRPr="00F50B51" w:rsidRDefault="00F80EE7">
      <w:pPr>
        <w:pStyle w:val="a7"/>
        <w:spacing w:before="0" w:beforeAutospacing="0" w:after="0" w:afterAutospacing="0"/>
        <w:rPr>
          <w:sz w:val="18"/>
          <w:szCs w:val="18"/>
        </w:rPr>
      </w:pPr>
      <w:r w:rsidRPr="00F50B51">
        <w:rPr>
          <w:rFonts w:hint="eastAsia"/>
          <w:sz w:val="18"/>
          <w:szCs w:val="18"/>
        </w:rPr>
        <w:t>包含个税手续费返回</w:t>
      </w:r>
      <w:r w:rsidRPr="00F50B51">
        <w:rPr>
          <w:rFonts w:ascii="Times New Roman" w:hAnsi="Times New Roman" w:cs="Times New Roman"/>
          <w:sz w:val="18"/>
          <w:szCs w:val="18"/>
        </w:rPr>
        <w:t>7,607.12</w:t>
      </w:r>
      <w:r w:rsidRPr="00F50B51">
        <w:rPr>
          <w:rFonts w:hint="eastAsia"/>
          <w:sz w:val="18"/>
          <w:szCs w:val="18"/>
        </w:rPr>
        <w:t>元，稳岗、就业补贴等</w:t>
      </w:r>
      <w:r w:rsidRPr="00F50B51">
        <w:rPr>
          <w:rFonts w:ascii="Times New Roman" w:hAnsi="Times New Roman" w:cs="Times New Roman"/>
          <w:sz w:val="18"/>
          <w:szCs w:val="18"/>
        </w:rPr>
        <w:t>189,849.31</w:t>
      </w:r>
      <w:r w:rsidRPr="00F50B51">
        <w:rPr>
          <w:rFonts w:hint="eastAsia"/>
          <w:sz w:val="18"/>
          <w:szCs w:val="18"/>
        </w:rPr>
        <w:t>元</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将《公开发行证券的公司信息披露解释性公告第</w:t>
      </w:r>
      <w:r w:rsidRPr="00F50B51">
        <w:rPr>
          <w:rFonts w:ascii="宋体" w:eastAsia="宋体" w:hAnsi="宋体" w:cs="宋体"/>
          <w:sz w:val="18"/>
          <w:szCs w:val="18"/>
        </w:rPr>
        <w:t>1</w:t>
      </w:r>
      <w:r w:rsidRPr="00F50B51">
        <w:rPr>
          <w:rFonts w:ascii="宋体" w:eastAsia="宋体" w:hAnsi="宋体" w:cs="宋体"/>
          <w:sz w:val="18"/>
          <w:szCs w:val="18"/>
        </w:rPr>
        <w:t>号</w:t>
      </w:r>
      <w:r w:rsidRPr="00F50B51">
        <w:rPr>
          <w:rFonts w:ascii="宋体" w:eastAsia="宋体" w:hAnsi="宋体" w:cs="宋体"/>
          <w:sz w:val="18"/>
          <w:szCs w:val="18"/>
        </w:rPr>
        <w:t>——</w:t>
      </w:r>
      <w:r w:rsidRPr="00F50B51">
        <w:rPr>
          <w:rFonts w:ascii="宋体" w:eastAsia="宋体" w:hAnsi="宋体" w:cs="宋体"/>
          <w:sz w:val="18"/>
          <w:szCs w:val="18"/>
        </w:rPr>
        <w:t>非经常性损益》中列举的非经常性损益项目界定为经常性损益项目的情况说明</w:t>
      </w:r>
    </w:p>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pStyle w:val="3"/>
        <w:spacing w:line="280" w:lineRule="exact"/>
        <w:jc w:val="left"/>
        <w:rPr>
          <w:rFonts w:ascii="宋体" w:hAnsi="宋体" w:cs="宋体"/>
          <w:b/>
          <w:bCs/>
        </w:rPr>
      </w:pPr>
      <w:bookmarkStart w:id="507" w:name="_Toc989395"/>
      <w:r w:rsidRPr="00F50B51">
        <w:rPr>
          <w:rFonts w:ascii="宋体" w:hAnsi="宋体" w:cs="宋体"/>
          <w:b/>
          <w:bCs/>
        </w:rPr>
        <w:t>2</w:t>
      </w:r>
      <w:r w:rsidRPr="00F50B51">
        <w:rPr>
          <w:rFonts w:ascii="宋体" w:hAnsi="宋体" w:cs="宋体"/>
          <w:b/>
          <w:bCs/>
        </w:rPr>
        <w:t>、净资产收益率及每股收益</w:t>
      </w:r>
      <w:bookmarkEnd w:id="507"/>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409"/>
        <w:gridCol w:w="2410"/>
        <w:gridCol w:w="2410"/>
        <w:gridCol w:w="2410"/>
      </w:tblGrid>
      <w:tr w:rsidR="0058782B" w:rsidRPr="00F50B51">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报告期利润</w:t>
            </w:r>
          </w:p>
        </w:tc>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加权平均净资产收益率</w:t>
            </w:r>
          </w:p>
        </w:tc>
        <w:tc>
          <w:tcPr>
            <w:tcW w:w="482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每股收益</w:t>
            </w:r>
          </w:p>
        </w:tc>
      </w:tr>
      <w:tr w:rsidR="0058782B" w:rsidRPr="00F50B51">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58782B"/>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基本每股收益（元</w:t>
            </w:r>
            <w:r w:rsidRPr="00F50B51">
              <w:rPr>
                <w:rFonts w:ascii="宋体" w:eastAsia="宋体" w:hAnsi="宋体" w:cs="宋体"/>
                <w:sz w:val="18"/>
                <w:szCs w:val="18"/>
              </w:rPr>
              <w:t>/</w:t>
            </w:r>
            <w:r w:rsidRPr="00F50B51">
              <w:rPr>
                <w:rFonts w:ascii="宋体" w:eastAsia="宋体" w:hAnsi="宋体" w:cs="宋体"/>
                <w:sz w:val="18"/>
                <w:szCs w:val="18"/>
              </w:rPr>
              <w:t>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jc w:val="center"/>
              <w:rPr>
                <w:rFonts w:ascii="宋体" w:eastAsia="宋体" w:hAnsi="宋体" w:cs="宋体"/>
                <w:sz w:val="18"/>
                <w:szCs w:val="18"/>
              </w:rPr>
            </w:pPr>
            <w:r w:rsidRPr="00F50B51">
              <w:rPr>
                <w:rFonts w:ascii="宋体" w:eastAsia="宋体" w:hAnsi="宋体" w:cs="宋体"/>
                <w:sz w:val="18"/>
                <w:szCs w:val="18"/>
              </w:rPr>
              <w:t>稀释每股收益（元</w:t>
            </w:r>
            <w:r w:rsidRPr="00F50B51">
              <w:rPr>
                <w:rFonts w:ascii="宋体" w:eastAsia="宋体" w:hAnsi="宋体" w:cs="宋体"/>
                <w:sz w:val="18"/>
                <w:szCs w:val="18"/>
              </w:rPr>
              <w:t>/</w:t>
            </w:r>
            <w:r w:rsidRPr="00F50B51">
              <w:rPr>
                <w:rFonts w:ascii="宋体" w:eastAsia="宋体" w:hAnsi="宋体" w:cs="宋体"/>
                <w:sz w:val="18"/>
                <w:szCs w:val="18"/>
              </w:rPr>
              <w:t>股）</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归属于公司普通股股东的净利润</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2.26%</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0.083</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0.083</w:t>
            </w:r>
          </w:p>
        </w:tc>
      </w:tr>
      <w:tr w:rsidR="0058782B" w:rsidRPr="00F50B5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58782B" w:rsidRPr="00F50B51" w:rsidRDefault="00F80EE7">
            <w:pPr>
              <w:spacing w:before="40" w:after="40" w:line="240" w:lineRule="exact"/>
              <w:rPr>
                <w:rFonts w:ascii="宋体" w:eastAsia="宋体" w:hAnsi="宋体" w:cs="宋体"/>
                <w:sz w:val="18"/>
                <w:szCs w:val="18"/>
              </w:rPr>
            </w:pPr>
            <w:r w:rsidRPr="00F50B51">
              <w:rPr>
                <w:rFonts w:ascii="宋体" w:eastAsia="宋体" w:hAnsi="宋体" w:cs="宋体"/>
                <w:sz w:val="18"/>
                <w:szCs w:val="18"/>
              </w:rPr>
              <w:t>扣除非经常性损益后归属于公司普通股股东的净利润</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1.60%</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0.059</w:t>
            </w:r>
          </w:p>
        </w:tc>
        <w:tc>
          <w:tcPr>
            <w:tcW w:w="2410" w:type="dxa"/>
            <w:tcBorders>
              <w:top w:val="single" w:sz="2" w:space="0" w:color="auto"/>
              <w:left w:val="single" w:sz="2" w:space="0" w:color="auto"/>
              <w:bottom w:val="single" w:sz="2" w:space="0" w:color="auto"/>
              <w:right w:val="single" w:sz="2" w:space="0" w:color="auto"/>
            </w:tcBorders>
            <w:vAlign w:val="center"/>
          </w:tcPr>
          <w:p w:rsidR="0058782B" w:rsidRPr="00F50B51" w:rsidRDefault="00F80EE7">
            <w:pPr>
              <w:spacing w:line="240" w:lineRule="exact"/>
              <w:jc w:val="right"/>
              <w:rPr>
                <w:rFonts w:ascii="宋体" w:eastAsia="宋体" w:hAnsi="宋体" w:cs="宋体"/>
                <w:sz w:val="18"/>
                <w:szCs w:val="18"/>
              </w:rPr>
            </w:pPr>
            <w:r w:rsidRPr="00F50B51">
              <w:rPr>
                <w:rFonts w:ascii="宋体" w:eastAsia="宋体" w:hAnsi="宋体" w:cs="宋体"/>
                <w:sz w:val="18"/>
                <w:szCs w:val="18"/>
              </w:rPr>
              <w:t>0.059</w:t>
            </w:r>
          </w:p>
        </w:tc>
      </w:tr>
    </w:tbl>
    <w:p w:rsidR="0058782B" w:rsidRPr="00F50B51" w:rsidRDefault="00F80EE7">
      <w:pPr>
        <w:pStyle w:val="3"/>
        <w:spacing w:line="280" w:lineRule="exact"/>
        <w:jc w:val="left"/>
        <w:rPr>
          <w:rFonts w:ascii="宋体" w:hAnsi="宋体" w:cs="宋体"/>
          <w:b/>
          <w:bCs/>
        </w:rPr>
      </w:pPr>
      <w:bookmarkStart w:id="508" w:name="_Toc989396"/>
      <w:r w:rsidRPr="00F50B51">
        <w:rPr>
          <w:rFonts w:ascii="宋体" w:hAnsi="宋体" w:cs="宋体"/>
          <w:b/>
          <w:bCs/>
        </w:rPr>
        <w:t>3</w:t>
      </w:r>
      <w:r w:rsidRPr="00F50B51">
        <w:rPr>
          <w:rFonts w:ascii="宋体" w:hAnsi="宋体" w:cs="宋体"/>
          <w:b/>
          <w:bCs/>
        </w:rPr>
        <w:t>、境内外会计准则下会计数据差异</w:t>
      </w:r>
      <w:bookmarkEnd w:id="508"/>
    </w:p>
    <w:p w:rsidR="0058782B" w:rsidRPr="00F50B51" w:rsidRDefault="00F80EE7">
      <w:pPr>
        <w:keepNext/>
        <w:keepLines/>
        <w:spacing w:before="300" w:after="300" w:line="280" w:lineRule="exact"/>
        <w:outlineLvl w:val="3"/>
        <w:rPr>
          <w:rFonts w:ascii="宋体" w:eastAsia="宋体" w:hAnsi="宋体" w:cs="宋体"/>
          <w:b/>
          <w:bCs/>
          <w:szCs w:val="21"/>
        </w:rPr>
      </w:pPr>
      <w:bookmarkStart w:id="509" w:name="_Toc989397"/>
      <w:r w:rsidRPr="00F50B51">
        <w:rPr>
          <w:rFonts w:ascii="宋体" w:eastAsia="宋体" w:hAnsi="宋体" w:cs="宋体"/>
          <w:b/>
          <w:bCs/>
          <w:szCs w:val="21"/>
        </w:rPr>
        <w:t>（</w:t>
      </w:r>
      <w:r w:rsidRPr="00F50B51">
        <w:rPr>
          <w:rFonts w:ascii="宋体" w:eastAsia="宋体" w:hAnsi="宋体" w:cs="宋体"/>
          <w:b/>
          <w:bCs/>
          <w:szCs w:val="21"/>
        </w:rPr>
        <w:t>1</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同时按照国际会计准则与按中国会计准则披露的财务报告中净利润和净资产差异情况</w:t>
      </w:r>
      <w:bookmarkEnd w:id="509"/>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keepNext/>
        <w:keepLines/>
        <w:spacing w:before="300" w:after="300" w:line="280" w:lineRule="exact"/>
        <w:outlineLvl w:val="3"/>
        <w:rPr>
          <w:rFonts w:ascii="宋体" w:eastAsia="宋体" w:hAnsi="宋体" w:cs="宋体"/>
          <w:b/>
          <w:bCs/>
          <w:szCs w:val="21"/>
        </w:rPr>
      </w:pPr>
      <w:bookmarkStart w:id="510" w:name="_Toc989398"/>
      <w:r w:rsidRPr="00F50B51">
        <w:rPr>
          <w:rFonts w:ascii="宋体" w:eastAsia="宋体" w:hAnsi="宋体" w:cs="宋体"/>
          <w:b/>
          <w:bCs/>
          <w:szCs w:val="21"/>
        </w:rPr>
        <w:t>（</w:t>
      </w:r>
      <w:r w:rsidRPr="00F50B51">
        <w:rPr>
          <w:rFonts w:ascii="宋体" w:eastAsia="宋体" w:hAnsi="宋体" w:cs="宋体"/>
          <w:b/>
          <w:bCs/>
          <w:szCs w:val="21"/>
        </w:rPr>
        <w:t>2</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同时按照境外会计准则与按中国会计准则披露的财务报告中净利润和净资产差异情况</w:t>
      </w:r>
      <w:bookmarkEnd w:id="510"/>
    </w:p>
    <w:p w:rsidR="0058782B" w:rsidRPr="00F50B51" w:rsidRDefault="00F80EE7">
      <w:pPr>
        <w:spacing w:line="240" w:lineRule="exact"/>
        <w:rPr>
          <w:rFonts w:ascii="宋体" w:eastAsia="宋体" w:hAnsi="宋体" w:cs="宋体"/>
          <w:sz w:val="18"/>
          <w:szCs w:val="18"/>
        </w:rPr>
      </w:pPr>
      <w:r w:rsidRPr="00F50B51">
        <w:rPr>
          <w:rFonts w:ascii="宋体" w:eastAsia="宋体" w:hAnsi="宋体" w:cs="宋体"/>
          <w:sz w:val="18"/>
          <w:szCs w:val="18"/>
        </w:rPr>
        <w:t>□</w:t>
      </w:r>
      <w:r w:rsidRPr="00F50B51">
        <w:rPr>
          <w:rFonts w:ascii="宋体" w:eastAsia="宋体" w:hAnsi="宋体" w:cs="宋体"/>
          <w:sz w:val="18"/>
          <w:szCs w:val="18"/>
        </w:rPr>
        <w:t>适用</w:t>
      </w:r>
      <w:r w:rsidRPr="00F50B51">
        <w:rPr>
          <w:rFonts w:ascii="宋体" w:eastAsia="宋体" w:hAnsi="宋体" w:cs="宋体"/>
          <w:sz w:val="18"/>
          <w:szCs w:val="18"/>
        </w:rPr>
        <w:t xml:space="preserve"> </w:t>
      </w:r>
      <w:r w:rsidRPr="00F50B51">
        <w:rPr>
          <w:rFonts w:ascii="宋体" w:eastAsia="宋体" w:hAnsi="宋体" w:cs="宋体"/>
          <w:sz w:val="18"/>
          <w:szCs w:val="18"/>
        </w:rPr>
        <w:sym w:font="Wingdings 2" w:char="F052"/>
      </w:r>
      <w:r w:rsidRPr="00F50B51">
        <w:rPr>
          <w:rFonts w:ascii="宋体" w:eastAsia="宋体" w:hAnsi="宋体" w:cs="宋体"/>
          <w:sz w:val="18"/>
          <w:szCs w:val="18"/>
        </w:rPr>
        <w:t>不适用</w:t>
      </w:r>
    </w:p>
    <w:p w:rsidR="0058782B" w:rsidRPr="00F50B51" w:rsidRDefault="00F80EE7">
      <w:pPr>
        <w:keepNext/>
        <w:keepLines/>
        <w:spacing w:before="300" w:after="300" w:line="280" w:lineRule="exact"/>
        <w:outlineLvl w:val="3"/>
        <w:rPr>
          <w:rFonts w:ascii="宋体" w:eastAsia="宋体" w:hAnsi="宋体" w:cs="宋体"/>
          <w:b/>
          <w:bCs/>
          <w:szCs w:val="21"/>
        </w:rPr>
      </w:pPr>
      <w:bookmarkStart w:id="511" w:name="_Toc989399"/>
      <w:r w:rsidRPr="00F50B51">
        <w:rPr>
          <w:rFonts w:ascii="宋体" w:eastAsia="宋体" w:hAnsi="宋体" w:cs="宋体"/>
          <w:b/>
          <w:bCs/>
          <w:szCs w:val="21"/>
        </w:rPr>
        <w:t>（</w:t>
      </w:r>
      <w:r w:rsidRPr="00F50B51">
        <w:rPr>
          <w:rFonts w:ascii="宋体" w:eastAsia="宋体" w:hAnsi="宋体" w:cs="宋体"/>
          <w:b/>
          <w:bCs/>
          <w:szCs w:val="21"/>
        </w:rPr>
        <w:t>3</w:t>
      </w:r>
      <w:r w:rsidRPr="00F50B51">
        <w:rPr>
          <w:rFonts w:ascii="宋体" w:eastAsia="宋体" w:hAnsi="宋体" w:cs="宋体"/>
          <w:b/>
          <w:bCs/>
          <w:szCs w:val="21"/>
        </w:rPr>
        <w:t>）</w:t>
      </w:r>
      <w:r w:rsidRPr="00F50B51">
        <w:rPr>
          <w:rFonts w:ascii="宋体" w:eastAsia="宋体" w:hAnsi="宋体" w:cs="宋体"/>
          <w:b/>
          <w:bCs/>
          <w:szCs w:val="21"/>
        </w:rPr>
        <w:t xml:space="preserve"> </w:t>
      </w:r>
      <w:r w:rsidRPr="00F50B51">
        <w:rPr>
          <w:rFonts w:ascii="宋体" w:eastAsia="宋体" w:hAnsi="宋体" w:cs="宋体"/>
          <w:b/>
          <w:bCs/>
          <w:szCs w:val="21"/>
        </w:rPr>
        <w:t>境内外会计准则下会计数据差异原因说明，对已经境外审计机构审计的数据进行差异调节的，应注明该境外机构的名称</w:t>
      </w:r>
      <w:bookmarkEnd w:id="511"/>
    </w:p>
    <w:p w:rsidR="0058782B" w:rsidRPr="00F50B51" w:rsidRDefault="0058782B">
      <w:pPr>
        <w:rPr>
          <w:sz w:val="18"/>
          <w:szCs w:val="18"/>
        </w:rPr>
      </w:pPr>
    </w:p>
    <w:p w:rsidR="0058782B" w:rsidRDefault="00F80EE7">
      <w:pPr>
        <w:pStyle w:val="3"/>
        <w:spacing w:line="280" w:lineRule="exact"/>
        <w:jc w:val="left"/>
        <w:rPr>
          <w:rFonts w:ascii="宋体" w:hAnsi="宋体" w:cs="宋体"/>
          <w:b/>
          <w:bCs/>
        </w:rPr>
      </w:pPr>
      <w:bookmarkStart w:id="512" w:name="_Toc989400"/>
      <w:r w:rsidRPr="00F50B51">
        <w:rPr>
          <w:rFonts w:ascii="宋体" w:hAnsi="宋体" w:cs="宋体"/>
          <w:b/>
          <w:bCs/>
        </w:rPr>
        <w:t>4</w:t>
      </w:r>
      <w:r w:rsidRPr="00F50B51">
        <w:rPr>
          <w:rFonts w:ascii="宋体" w:hAnsi="宋体" w:cs="宋体"/>
          <w:b/>
          <w:bCs/>
        </w:rPr>
        <w:t>、其他</w:t>
      </w:r>
      <w:bookmarkEnd w:id="512"/>
    </w:p>
    <w:p w:rsidR="0058782B" w:rsidRDefault="0058782B">
      <w:pPr>
        <w:rPr>
          <w:sz w:val="18"/>
          <w:szCs w:val="18"/>
        </w:rPr>
      </w:pPr>
    </w:p>
    <w:sectPr w:rsidR="0058782B" w:rsidSect="0058782B">
      <w:headerReference w:type="default" r:id="rId17"/>
      <w:footerReference w:type="default" r:id="rId18"/>
      <w:pgSz w:w="11905" w:h="16840"/>
      <w:pgMar w:top="1440" w:right="1134" w:bottom="1440" w:left="1134" w:header="850"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EE7" w:rsidRDefault="00F80EE7" w:rsidP="0058782B">
      <w:r>
        <w:separator/>
      </w:r>
    </w:p>
  </w:endnote>
  <w:endnote w:type="continuationSeparator" w:id="1">
    <w:p w:rsidR="00F80EE7" w:rsidRDefault="00F80EE7" w:rsidP="0058782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82B" w:rsidRDefault="0058782B">
    <w:pPr>
      <w:pStyle w:val="fotter1"/>
    </w:pPr>
    <w:r>
      <w:fldChar w:fldCharType="begin"/>
    </w:r>
    <w:r w:rsidR="00F80EE7">
      <w:instrText>PAGE   \* MERGEFORMAT</w:instrText>
    </w:r>
    <w:r>
      <w:fldChar w:fldCharType="separate"/>
    </w:r>
    <w:r w:rsidR="00F50B51">
      <w:rPr>
        <w:noProof/>
      </w:rPr>
      <w:t>15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EE7" w:rsidRDefault="00F80EE7" w:rsidP="0058782B">
      <w:r>
        <w:separator/>
      </w:r>
    </w:p>
  </w:footnote>
  <w:footnote w:type="continuationSeparator" w:id="1">
    <w:p w:rsidR="00F80EE7" w:rsidRDefault="00F80EE7" w:rsidP="005878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82B" w:rsidRDefault="00F80EE7">
    <w:pPr>
      <w:pStyle w:val="Header1"/>
      <w:pBdr>
        <w:bottom w:val="single" w:sz="6" w:space="1" w:color="auto"/>
      </w:pBdr>
    </w:pPr>
    <w:r>
      <w:t>广东翔鹭钨业股份有限公司</w:t>
    </w:r>
    <w:r>
      <w:t>2022</w:t>
    </w:r>
    <w:r>
      <w:t>年半年度报告全文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136E9"/>
    <w:multiLevelType w:val="multilevel"/>
    <w:tmpl w:val="130136E9"/>
    <w:lvl w:ilvl="0">
      <w:start w:val="1"/>
      <w:numFmt w:val="upperLetter"/>
      <w:lvlText w:val="%1."/>
      <w:lvlJc w:val="left"/>
      <w:pPr>
        <w:tabs>
          <w:tab w:val="left" w:pos="720"/>
        </w:tabs>
        <w:ind w:left="720" w:hanging="360"/>
      </w:pPr>
    </w:lvl>
    <w:lvl w:ilvl="1">
      <w:start w:val="1"/>
      <w:numFmt w:val="upperLetter"/>
      <w:lvlText w:val="%2."/>
      <w:lvlJc w:val="left"/>
      <w:pPr>
        <w:tabs>
          <w:tab w:val="left" w:pos="1440"/>
        </w:tabs>
        <w:ind w:left="1440" w:hanging="360"/>
      </w:pPr>
    </w:lvl>
    <w:lvl w:ilvl="2">
      <w:start w:val="1"/>
      <w:numFmt w:val="upperLetter"/>
      <w:lvlText w:val="%3."/>
      <w:lvlJc w:val="left"/>
      <w:pPr>
        <w:tabs>
          <w:tab w:val="left" w:pos="2160"/>
        </w:tabs>
        <w:ind w:left="2160" w:hanging="360"/>
      </w:pPr>
    </w:lvl>
    <w:lvl w:ilvl="3">
      <w:start w:val="1"/>
      <w:numFmt w:val="upperLetter"/>
      <w:lvlText w:val="%4."/>
      <w:lvlJc w:val="left"/>
      <w:pPr>
        <w:tabs>
          <w:tab w:val="left" w:pos="2880"/>
        </w:tabs>
        <w:ind w:left="2880" w:hanging="360"/>
      </w:pPr>
    </w:lvl>
    <w:lvl w:ilvl="4">
      <w:start w:val="1"/>
      <w:numFmt w:val="upperLetter"/>
      <w:lvlText w:val="%5."/>
      <w:lvlJc w:val="left"/>
      <w:pPr>
        <w:tabs>
          <w:tab w:val="left" w:pos="3600"/>
        </w:tabs>
        <w:ind w:left="3600" w:hanging="360"/>
      </w:pPr>
    </w:lvl>
    <w:lvl w:ilvl="5">
      <w:start w:val="1"/>
      <w:numFmt w:val="upperLetter"/>
      <w:lvlText w:val="%6."/>
      <w:lvlJc w:val="left"/>
      <w:pPr>
        <w:tabs>
          <w:tab w:val="left" w:pos="4320"/>
        </w:tabs>
        <w:ind w:left="4320" w:hanging="360"/>
      </w:pPr>
    </w:lvl>
    <w:lvl w:ilvl="6">
      <w:start w:val="1"/>
      <w:numFmt w:val="upperLetter"/>
      <w:lvlText w:val="%7."/>
      <w:lvlJc w:val="left"/>
      <w:pPr>
        <w:tabs>
          <w:tab w:val="left" w:pos="5040"/>
        </w:tabs>
        <w:ind w:left="5040" w:hanging="360"/>
      </w:pPr>
    </w:lvl>
    <w:lvl w:ilvl="7">
      <w:start w:val="1"/>
      <w:numFmt w:val="upperLetter"/>
      <w:lvlText w:val="%8."/>
      <w:lvlJc w:val="left"/>
      <w:pPr>
        <w:tabs>
          <w:tab w:val="left" w:pos="5760"/>
        </w:tabs>
        <w:ind w:left="5760" w:hanging="360"/>
      </w:pPr>
    </w:lvl>
    <w:lvl w:ilvl="8">
      <w:start w:val="1"/>
      <w:numFmt w:val="upperLetter"/>
      <w:lvlText w:val="%9."/>
      <w:lvlJc w:val="left"/>
      <w:pPr>
        <w:tabs>
          <w:tab w:val="left" w:pos="6480"/>
        </w:tabs>
        <w:ind w:left="6480" w:hanging="36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Z">
    <w15:presenceInfo w15:providerId="WPS Office" w15:userId="879307909"/>
  </w15:person>
  <w15:person w15:author="Administrator">
    <w15:presenceInfo w15:providerId="None" w15:userId="Administrator"/>
  </w15:person>
  <w15:person w15:author="东">
    <w15:presenceInfo w15:providerId="WPS Office" w15:userId="282883157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characterSpacingControl w:val="doNotCompress"/>
  <w:hdrShapeDefaults>
    <o:shapedefaults v:ext="edit" spidmax="3074"/>
  </w:hdrShapeDefaults>
  <w:footnotePr>
    <w:footnote w:id="0"/>
    <w:footnote w:id="1"/>
  </w:footnotePr>
  <w:endnotePr>
    <w:endnote w:id="0"/>
    <w:endnote w:id="1"/>
  </w:endnotePr>
  <w:compat>
    <w:useFELayout/>
  </w:compat>
  <w:docVars>
    <w:docVar w:name="commondata" w:val="eyJoZGlkIjoiMDU4ODE5ZjcxMWI2NzMyNDMwYWY3ZDA1MTYwODljNDUifQ=="/>
  </w:docVars>
  <w:rsids>
    <w:rsidRoot w:val="00725D6F"/>
    <w:rsid w:val="00545F62"/>
    <w:rsid w:val="0058782B"/>
    <w:rsid w:val="005A11C1"/>
    <w:rsid w:val="005E64C7"/>
    <w:rsid w:val="00725D6F"/>
    <w:rsid w:val="00814646"/>
    <w:rsid w:val="00B52A6C"/>
    <w:rsid w:val="00CE3782"/>
    <w:rsid w:val="00EF2612"/>
    <w:rsid w:val="00F50B51"/>
    <w:rsid w:val="00F80EE7"/>
    <w:rsid w:val="11E9455A"/>
    <w:rsid w:val="1D6536F1"/>
    <w:rsid w:val="29BA497C"/>
    <w:rsid w:val="3B8836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82B"/>
    <w:pPr>
      <w:widowControl w:val="0"/>
    </w:pPr>
    <w:rPr>
      <w:kern w:val="2"/>
      <w:sz w:val="21"/>
      <w:szCs w:val="22"/>
    </w:rPr>
  </w:style>
  <w:style w:type="paragraph" w:styleId="2">
    <w:name w:val="heading 2"/>
    <w:basedOn w:val="a"/>
    <w:next w:val="a"/>
    <w:uiPriority w:val="9"/>
    <w:unhideWhenUsed/>
    <w:qFormat/>
    <w:rsid w:val="0058782B"/>
    <w:pPr>
      <w:keepNext/>
      <w:keepLines/>
      <w:spacing w:before="156" w:after="156"/>
      <w:outlineLvl w:val="1"/>
    </w:pPr>
    <w:rPr>
      <w:szCs w:val="21"/>
    </w:rPr>
  </w:style>
  <w:style w:type="paragraph" w:styleId="3">
    <w:name w:val="heading 3"/>
    <w:basedOn w:val="a"/>
    <w:next w:val="a"/>
    <w:uiPriority w:val="99"/>
    <w:qFormat/>
    <w:rsid w:val="0058782B"/>
    <w:pPr>
      <w:keepNext/>
      <w:keepLines/>
      <w:spacing w:before="300" w:after="300" w:line="241" w:lineRule="auto"/>
      <w:jc w:val="both"/>
      <w:outlineLvl w:val="2"/>
    </w:pPr>
    <w:rPr>
      <w:rFonts w:eastAsia="宋体"/>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58782B"/>
    <w:rPr>
      <w:rFonts w:ascii="宋体" w:eastAsia="宋体"/>
      <w:sz w:val="18"/>
      <w:szCs w:val="18"/>
    </w:rPr>
  </w:style>
  <w:style w:type="paragraph" w:styleId="a4">
    <w:name w:val="Balloon Text"/>
    <w:basedOn w:val="a"/>
    <w:link w:val="Char0"/>
    <w:uiPriority w:val="99"/>
    <w:semiHidden/>
    <w:unhideWhenUsed/>
    <w:qFormat/>
    <w:rsid w:val="0058782B"/>
    <w:rPr>
      <w:sz w:val="18"/>
      <w:szCs w:val="18"/>
    </w:rPr>
  </w:style>
  <w:style w:type="paragraph" w:styleId="a5">
    <w:name w:val="footer"/>
    <w:basedOn w:val="a"/>
    <w:link w:val="Char1"/>
    <w:uiPriority w:val="99"/>
    <w:semiHidden/>
    <w:unhideWhenUsed/>
    <w:qFormat/>
    <w:rsid w:val="0058782B"/>
    <w:pPr>
      <w:tabs>
        <w:tab w:val="center" w:pos="4153"/>
        <w:tab w:val="right" w:pos="8306"/>
      </w:tabs>
      <w:snapToGrid w:val="0"/>
    </w:pPr>
    <w:rPr>
      <w:sz w:val="18"/>
      <w:szCs w:val="18"/>
    </w:rPr>
  </w:style>
  <w:style w:type="paragraph" w:styleId="a6">
    <w:name w:val="header"/>
    <w:basedOn w:val="a"/>
    <w:link w:val="Char2"/>
    <w:uiPriority w:val="99"/>
    <w:semiHidden/>
    <w:unhideWhenUsed/>
    <w:rsid w:val="0058782B"/>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rsid w:val="0058782B"/>
  </w:style>
  <w:style w:type="paragraph" w:styleId="20">
    <w:name w:val="toc 2"/>
    <w:basedOn w:val="a"/>
    <w:next w:val="a"/>
    <w:uiPriority w:val="39"/>
    <w:unhideWhenUsed/>
    <w:qFormat/>
    <w:rsid w:val="0058782B"/>
    <w:pPr>
      <w:ind w:leftChars="200" w:left="420"/>
    </w:pPr>
  </w:style>
  <w:style w:type="paragraph" w:styleId="a7">
    <w:name w:val="Normal (Web)"/>
    <w:basedOn w:val="a"/>
    <w:uiPriority w:val="99"/>
    <w:unhideWhenUsed/>
    <w:qFormat/>
    <w:rsid w:val="0058782B"/>
    <w:pPr>
      <w:widowControl/>
      <w:spacing w:before="100" w:beforeAutospacing="1" w:after="100" w:afterAutospacing="1"/>
    </w:pPr>
    <w:rPr>
      <w:rFonts w:ascii="宋体" w:eastAsia="宋体" w:hAnsi="宋体" w:cs="宋体"/>
      <w:kern w:val="0"/>
      <w:sz w:val="24"/>
      <w:szCs w:val="24"/>
    </w:rPr>
  </w:style>
  <w:style w:type="table" w:styleId="a8">
    <w:name w:val="Table Grid"/>
    <w:rsid w:val="00587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58782B"/>
    <w:rPr>
      <w:b/>
      <w:bCs/>
    </w:rPr>
  </w:style>
  <w:style w:type="paragraph" w:customStyle="1" w:styleId="Header1">
    <w:name w:val="Header 1"/>
    <w:rsid w:val="0058782B"/>
    <w:pPr>
      <w:jc w:val="right"/>
    </w:pPr>
    <w:rPr>
      <w:rFonts w:ascii="宋体" w:eastAsia="宋体"/>
      <w:kern w:val="2"/>
      <w:sz w:val="18"/>
      <w:szCs w:val="18"/>
    </w:rPr>
  </w:style>
  <w:style w:type="paragraph" w:customStyle="1" w:styleId="headingh1">
    <w:name w:val="heading h1"/>
    <w:basedOn w:val="a"/>
    <w:next w:val="a"/>
    <w:uiPriority w:val="9"/>
    <w:qFormat/>
    <w:rsid w:val="0058782B"/>
    <w:pPr>
      <w:keepNext/>
      <w:keepLines/>
      <w:spacing w:before="240" w:after="240" w:line="578" w:lineRule="auto"/>
      <w:outlineLvl w:val="0"/>
    </w:pPr>
    <w:rPr>
      <w:kern w:val="44"/>
      <w:sz w:val="44"/>
      <w:szCs w:val="44"/>
    </w:rPr>
  </w:style>
  <w:style w:type="paragraph" w:customStyle="1" w:styleId="fotter1">
    <w:name w:val="fotter 1"/>
    <w:qFormat/>
    <w:rsid w:val="0058782B"/>
    <w:pPr>
      <w:jc w:val="right"/>
    </w:pPr>
    <w:rPr>
      <w:rFonts w:ascii="宋体" w:eastAsia="宋体"/>
      <w:kern w:val="2"/>
      <w:sz w:val="18"/>
      <w:szCs w:val="18"/>
    </w:rPr>
  </w:style>
  <w:style w:type="paragraph" w:customStyle="1" w:styleId="15">
    <w:name w:val="15"/>
    <w:basedOn w:val="a"/>
    <w:qFormat/>
    <w:rsid w:val="0058782B"/>
    <w:pPr>
      <w:widowControl/>
      <w:spacing w:before="100" w:beforeAutospacing="1" w:after="100" w:afterAutospacing="1"/>
    </w:pPr>
    <w:rPr>
      <w:rFonts w:ascii="宋体" w:eastAsia="宋体" w:hAnsi="宋体" w:cs="宋体"/>
      <w:kern w:val="0"/>
      <w:sz w:val="24"/>
      <w:szCs w:val="24"/>
    </w:rPr>
  </w:style>
  <w:style w:type="paragraph" w:customStyle="1" w:styleId="17">
    <w:name w:val="17"/>
    <w:basedOn w:val="a"/>
    <w:qFormat/>
    <w:rsid w:val="0058782B"/>
    <w:pPr>
      <w:widowControl/>
      <w:spacing w:before="100" w:beforeAutospacing="1" w:after="100" w:afterAutospacing="1"/>
    </w:pPr>
    <w:rPr>
      <w:rFonts w:ascii="宋体" w:eastAsia="宋体" w:hAnsi="宋体" w:cs="宋体"/>
      <w:kern w:val="0"/>
      <w:sz w:val="24"/>
      <w:szCs w:val="24"/>
    </w:rPr>
  </w:style>
  <w:style w:type="paragraph" w:customStyle="1" w:styleId="16">
    <w:name w:val="16"/>
    <w:basedOn w:val="a"/>
    <w:qFormat/>
    <w:rsid w:val="0058782B"/>
    <w:pPr>
      <w:widowControl/>
      <w:spacing w:before="100" w:beforeAutospacing="1" w:after="100" w:afterAutospacing="1"/>
    </w:pPr>
    <w:rPr>
      <w:rFonts w:ascii="宋体" w:eastAsia="宋体" w:hAnsi="宋体" w:cs="宋体"/>
      <w:kern w:val="0"/>
      <w:sz w:val="24"/>
      <w:szCs w:val="24"/>
    </w:rPr>
  </w:style>
  <w:style w:type="character" w:customStyle="1" w:styleId="Char0">
    <w:name w:val="批注框文本 Char"/>
    <w:basedOn w:val="a0"/>
    <w:link w:val="a4"/>
    <w:uiPriority w:val="99"/>
    <w:semiHidden/>
    <w:rsid w:val="0058782B"/>
    <w:rPr>
      <w:sz w:val="18"/>
      <w:szCs w:val="18"/>
    </w:rPr>
  </w:style>
  <w:style w:type="character" w:customStyle="1" w:styleId="Char2">
    <w:name w:val="页眉 Char"/>
    <w:basedOn w:val="a0"/>
    <w:link w:val="a6"/>
    <w:uiPriority w:val="99"/>
    <w:semiHidden/>
    <w:qFormat/>
    <w:rsid w:val="0058782B"/>
    <w:rPr>
      <w:sz w:val="18"/>
      <w:szCs w:val="18"/>
    </w:rPr>
  </w:style>
  <w:style w:type="character" w:customStyle="1" w:styleId="Char1">
    <w:name w:val="页脚 Char"/>
    <w:basedOn w:val="a0"/>
    <w:link w:val="a5"/>
    <w:uiPriority w:val="99"/>
    <w:semiHidden/>
    <w:qFormat/>
    <w:rsid w:val="0058782B"/>
    <w:rPr>
      <w:sz w:val="18"/>
      <w:szCs w:val="18"/>
    </w:rPr>
  </w:style>
  <w:style w:type="character" w:customStyle="1" w:styleId="Char">
    <w:name w:val="文档结构图 Char"/>
    <w:basedOn w:val="a0"/>
    <w:link w:val="a3"/>
    <w:uiPriority w:val="99"/>
    <w:semiHidden/>
    <w:qFormat/>
    <w:rsid w:val="0058782B"/>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53</Pages>
  <Words>19161</Words>
  <Characters>109222</Characters>
  <Application>Microsoft Office Word</Application>
  <DocSecurity>0</DocSecurity>
  <Lines>910</Lines>
  <Paragraphs>256</Paragraphs>
  <ScaleCrop>false</ScaleCrop>
  <Company>微软中国</Company>
  <LinksUpToDate>false</LinksUpToDate>
  <CharactersWithSpaces>128127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5</cp:revision>
  <dcterms:created xsi:type="dcterms:W3CDTF">2022-08-22T10:59:00Z</dcterms:created>
  <dcterms:modified xsi:type="dcterms:W3CDTF">2022-12-02T07:46:00Z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72F0624FF0714BB098A553F1A0D2A0F0</vt:lpwstr>
  </property>
</Properties>
</file>