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C0" w:rsidRDefault="00121A29">
      <w:pPr>
        <w:spacing w:before="200" w:after="1000" w:line="560" w:lineRule="exact"/>
        <w:jc w:val="center"/>
        <w:rPr>
          <w:rFonts w:ascii="宋体" w:eastAsia="宋体" w:hAnsi="宋体" w:cs="宋体"/>
          <w:sz w:val="18"/>
          <w:szCs w:val="18"/>
        </w:rPr>
      </w:pPr>
      <w:r>
        <w:rPr>
          <w:rFonts w:ascii="宋体" w:eastAsia="宋体" w:hAnsi="宋体" w:cs="宋体"/>
          <w:sz w:val="18"/>
          <w:szCs w:val="18"/>
        </w:rPr>
        <w:t>证券代码：002842                证券简称：翔鹭钨业                公告编号：2022-052</w:t>
      </w:r>
    </w:p>
    <w:p w:rsidR="00962DC0" w:rsidRDefault="00121A29">
      <w:pPr>
        <w:spacing w:before="200" w:after="200" w:line="400" w:lineRule="exact"/>
        <w:jc w:val="center"/>
        <w:rPr>
          <w:rFonts w:ascii="宋体" w:eastAsia="宋体" w:hAnsi="宋体" w:cs="宋体"/>
          <w:b/>
          <w:bCs/>
          <w:sz w:val="32"/>
          <w:szCs w:val="32"/>
        </w:rPr>
      </w:pPr>
      <w:r>
        <w:rPr>
          <w:rFonts w:ascii="宋体" w:eastAsia="宋体" w:hAnsi="宋体" w:cs="宋体"/>
          <w:b/>
          <w:bCs/>
          <w:sz w:val="32"/>
          <w:szCs w:val="32"/>
        </w:rPr>
        <w:t>广东翔鹭钨业股份有限公司</w:t>
      </w:r>
    </w:p>
    <w:p w:rsidR="00962DC0" w:rsidRDefault="00121A29">
      <w:pPr>
        <w:spacing w:before="200" w:after="200" w:line="400" w:lineRule="exact"/>
        <w:jc w:val="center"/>
        <w:rPr>
          <w:rFonts w:ascii="宋体" w:eastAsia="宋体" w:hAnsi="宋体" w:cs="宋体"/>
          <w:b/>
          <w:bCs/>
          <w:sz w:val="32"/>
          <w:szCs w:val="32"/>
        </w:rPr>
      </w:pPr>
      <w:r>
        <w:rPr>
          <w:rFonts w:ascii="宋体" w:eastAsia="宋体" w:hAnsi="宋体" w:cs="宋体"/>
          <w:b/>
          <w:bCs/>
          <w:sz w:val="32"/>
          <w:szCs w:val="32"/>
        </w:rPr>
        <w:t>2022年第三季度报告</w:t>
      </w:r>
    </w:p>
    <w:p w:rsidR="00962DC0" w:rsidRDefault="00121A29">
      <w:pPr>
        <w:pBdr>
          <w:top w:val="single" w:sz="4" w:space="1" w:color="auto"/>
          <w:left w:val="single" w:sz="4" w:space="4" w:color="auto"/>
          <w:bottom w:val="single" w:sz="4" w:space="1" w:color="auto"/>
          <w:right w:val="single" w:sz="4" w:space="4" w:color="auto"/>
          <w:bar w:val="single" w:sz="4" w:color="auto"/>
        </w:pBdr>
        <w:spacing w:before="100" w:after="100" w:line="400" w:lineRule="exact"/>
        <w:ind w:firstLineChars="200" w:firstLine="360"/>
        <w:rPr>
          <w:rFonts w:ascii="宋体" w:eastAsia="宋体" w:hAnsi="宋体" w:cs="宋体"/>
          <w:sz w:val="18"/>
          <w:szCs w:val="18"/>
        </w:rPr>
      </w:pPr>
      <w:r>
        <w:rPr>
          <w:rFonts w:ascii="宋体" w:eastAsia="宋体" w:hAnsi="宋体" w:cs="宋体"/>
          <w:sz w:val="18"/>
          <w:szCs w:val="18"/>
        </w:rPr>
        <w:t>本公司及董事会全体成员保证信息披露的内容真实、准确、完整，没有虚假记载、误导性陈述或重大遗漏。</w:t>
      </w:r>
    </w:p>
    <w:p w:rsidR="00962DC0" w:rsidRDefault="00121A29">
      <w:pPr>
        <w:spacing w:before="40" w:after="40" w:line="420" w:lineRule="exact"/>
        <w:rPr>
          <w:rFonts w:ascii="宋体" w:eastAsia="宋体" w:hAnsi="宋体" w:cs="宋体"/>
          <w:b/>
          <w:bCs/>
          <w:sz w:val="24"/>
          <w:szCs w:val="24"/>
        </w:rPr>
      </w:pPr>
      <w:r>
        <w:rPr>
          <w:rFonts w:ascii="宋体" w:eastAsia="宋体" w:hAnsi="宋体" w:cs="宋体"/>
          <w:b/>
          <w:bCs/>
          <w:sz w:val="24"/>
          <w:szCs w:val="24"/>
        </w:rPr>
        <w:t>重要内容提示：</w:t>
      </w:r>
    </w:p>
    <w:p w:rsidR="00962DC0" w:rsidRDefault="00121A29">
      <w:pPr>
        <w:spacing w:before="100" w:after="100" w:line="400" w:lineRule="exact"/>
        <w:rPr>
          <w:rFonts w:ascii="宋体" w:eastAsia="宋体" w:hAnsi="宋体" w:cs="宋体"/>
          <w:sz w:val="18"/>
          <w:szCs w:val="18"/>
        </w:rPr>
      </w:pPr>
      <w:r>
        <w:rPr>
          <w:rFonts w:ascii="宋体" w:eastAsia="宋体" w:hAnsi="宋体" w:cs="宋体"/>
          <w:sz w:val="18"/>
          <w:szCs w:val="18"/>
        </w:rPr>
        <w:t>1.董事会、监事会及董事、监事、高级管理人员保证季度报告的真实、准确、完整，不存在虚假记载、误导性陈述或重大遗漏，并承担个别和连带的法律责任。</w:t>
      </w:r>
    </w:p>
    <w:p w:rsidR="00962DC0" w:rsidRDefault="00121A29">
      <w:pPr>
        <w:spacing w:before="100" w:after="100" w:line="400" w:lineRule="exact"/>
        <w:rPr>
          <w:rFonts w:ascii="宋体" w:eastAsia="宋体" w:hAnsi="宋体" w:cs="宋体"/>
          <w:sz w:val="18"/>
          <w:szCs w:val="18"/>
        </w:rPr>
      </w:pPr>
      <w:r>
        <w:rPr>
          <w:rFonts w:ascii="宋体" w:eastAsia="宋体" w:hAnsi="宋体" w:cs="宋体"/>
          <w:sz w:val="18"/>
          <w:szCs w:val="18"/>
        </w:rPr>
        <w:t>2.公司负责人、主管会计工作负责人及会计机构负责人(会计主管人员)声明：保证季度报告中财务信息的真实、准确、完整。</w:t>
      </w:r>
    </w:p>
    <w:p w:rsidR="00962DC0" w:rsidRDefault="00121A29">
      <w:pPr>
        <w:spacing w:before="100" w:after="100" w:line="400" w:lineRule="exact"/>
        <w:rPr>
          <w:rFonts w:ascii="宋体" w:eastAsia="宋体" w:hAnsi="宋体" w:cs="宋体"/>
          <w:sz w:val="18"/>
          <w:szCs w:val="18"/>
        </w:rPr>
      </w:pPr>
      <w:r>
        <w:rPr>
          <w:rFonts w:ascii="宋体" w:eastAsia="宋体" w:hAnsi="宋体" w:cs="宋体"/>
          <w:sz w:val="18"/>
          <w:szCs w:val="18"/>
        </w:rPr>
        <w:t>3.第三季度报告是否经过审计</w:t>
      </w:r>
    </w:p>
    <w:p w:rsidR="00962DC0" w:rsidRDefault="00121A29">
      <w:pPr>
        <w:spacing w:before="100" w:after="100" w:line="40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962DC0" w:rsidRDefault="00121A29">
      <w:r>
        <w:br w:type="page"/>
      </w:r>
    </w:p>
    <w:p w:rsidR="00962DC0" w:rsidRDefault="00121A29">
      <w:pPr>
        <w:pStyle w:val="headingh1"/>
        <w:spacing w:before="300" w:after="300" w:line="320" w:lineRule="exact"/>
        <w:rPr>
          <w:rFonts w:ascii="宋体" w:eastAsia="宋体" w:hAnsi="宋体" w:cs="宋体"/>
          <w:b/>
          <w:bCs/>
          <w:sz w:val="24"/>
          <w:szCs w:val="24"/>
        </w:rPr>
      </w:pPr>
      <w:bookmarkStart w:id="0" w:name="_Toc988889"/>
      <w:r>
        <w:rPr>
          <w:rFonts w:ascii="宋体" w:eastAsia="宋体" w:hAnsi="宋体" w:cs="宋体"/>
          <w:b/>
          <w:bCs/>
          <w:sz w:val="24"/>
          <w:szCs w:val="24"/>
        </w:rPr>
        <w:lastRenderedPageBreak/>
        <w:t>一、主要财务数据</w:t>
      </w:r>
      <w:bookmarkEnd w:id="0"/>
    </w:p>
    <w:p w:rsidR="00962DC0" w:rsidRDefault="00121A29">
      <w:pPr>
        <w:pStyle w:val="2"/>
        <w:spacing w:before="300" w:after="300" w:line="280" w:lineRule="exact"/>
        <w:rPr>
          <w:rFonts w:ascii="宋体" w:eastAsia="宋体" w:hAnsi="宋体" w:cs="宋体"/>
          <w:b/>
          <w:bCs/>
        </w:rPr>
      </w:pPr>
      <w:bookmarkStart w:id="1" w:name="_Toc988890"/>
      <w:r>
        <w:rPr>
          <w:rFonts w:ascii="宋体" w:eastAsia="宋体" w:hAnsi="宋体" w:cs="宋体"/>
          <w:b/>
          <w:bCs/>
        </w:rPr>
        <w:t>（一） 主要会计数据和财务指标</w:t>
      </w:r>
      <w:bookmarkEnd w:id="1"/>
    </w:p>
    <w:p w:rsidR="00962DC0" w:rsidRDefault="00121A29">
      <w:pPr>
        <w:spacing w:before="100" w:after="100" w:line="240" w:lineRule="exact"/>
        <w:rPr>
          <w:rFonts w:ascii="宋体" w:eastAsia="宋体" w:hAnsi="宋体" w:cs="宋体"/>
          <w:sz w:val="18"/>
          <w:szCs w:val="18"/>
        </w:rPr>
      </w:pPr>
      <w:r>
        <w:rPr>
          <w:rFonts w:ascii="宋体" w:eastAsia="宋体" w:hAnsi="宋体" w:cs="宋体"/>
          <w:sz w:val="18"/>
          <w:szCs w:val="18"/>
        </w:rPr>
        <w:t>公司是否需追溯调整或重述以前年度会计数据</w:t>
      </w:r>
    </w:p>
    <w:p w:rsidR="00962DC0" w:rsidRDefault="00121A29">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1927"/>
        <w:gridCol w:w="1928"/>
        <w:gridCol w:w="1928"/>
        <w:gridCol w:w="1928"/>
        <w:gridCol w:w="1928"/>
      </w:tblGrid>
      <w:tr w:rsidR="00962DC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本报告期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本报告期比上年同期增减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年初至报告期末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年初至报告期末比上年同期增减</w:t>
            </w:r>
          </w:p>
        </w:tc>
      </w:tr>
      <w:tr w:rsidR="00962DC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营业收入（元）</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383,359,117.65</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7.36%</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1,284,101,468.04</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13.38%</w:t>
            </w:r>
          </w:p>
        </w:tc>
      </w:tr>
      <w:tr w:rsidR="00962DC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归属于上市公司股东的净利润（元）</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-1,039,955.02</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-106.54%</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22,040,304.25</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-45.14%</w:t>
            </w:r>
          </w:p>
        </w:tc>
      </w:tr>
      <w:tr w:rsidR="00962DC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归属于上市公司股东的扣除非经常性损益的净利润（元）</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-2,609,139.82</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-116.06%</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13,750,119.46</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-64.16%</w:t>
            </w:r>
          </w:p>
        </w:tc>
      </w:tr>
      <w:tr w:rsidR="00962DC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经营活动产生的现金流量净额（元）</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44,507,839.61</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351.19%</w:t>
            </w:r>
          </w:p>
        </w:tc>
      </w:tr>
      <w:tr w:rsidR="00962DC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基本每股收益（元/股）</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-0.0037</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-106.17%</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0.08</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-46.67%</w:t>
            </w:r>
          </w:p>
        </w:tc>
      </w:tr>
      <w:tr w:rsidR="00962DC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稀释每股收益（元/股）</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-0.0037</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-106.17%</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0.08</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-46.67%</w:t>
            </w:r>
          </w:p>
        </w:tc>
      </w:tr>
      <w:tr w:rsidR="00962DC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加权平均净资产收益率</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-0.10%</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-1.67%</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2.16%</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-1.83%</w:t>
            </w:r>
          </w:p>
        </w:tc>
      </w:tr>
      <w:tr w:rsidR="00962DC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本报告期末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上年度末</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本报告期末比上年度末增减</w:t>
            </w:r>
          </w:p>
        </w:tc>
      </w:tr>
      <w:tr w:rsidR="00962DC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总资产（元）</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2,405,139,438.30</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2,425,286,571.84</w:t>
            </w:r>
          </w:p>
        </w:tc>
        <w:tc>
          <w:tcPr>
            <w:tcW w:w="3856" w:type="dxa"/>
            <w:gridSpan w:val="2"/>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-0.83%</w:t>
            </w:r>
          </w:p>
        </w:tc>
      </w:tr>
      <w:tr w:rsidR="00962DC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归属于上市公司股东的所有者权益（元）</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1,006,130,660.34</w:t>
            </w:r>
          </w:p>
        </w:tc>
        <w:tc>
          <w:tcPr>
            <w:tcW w:w="1928"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1,012,324,287.37</w:t>
            </w:r>
          </w:p>
        </w:tc>
        <w:tc>
          <w:tcPr>
            <w:tcW w:w="3856" w:type="dxa"/>
            <w:gridSpan w:val="2"/>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-0.61%</w:t>
            </w:r>
          </w:p>
        </w:tc>
      </w:tr>
    </w:tbl>
    <w:p w:rsidR="00962DC0" w:rsidRDefault="00962DC0">
      <w:pPr>
        <w:spacing w:before="100" w:after="100" w:line="0" w:lineRule="atLeast"/>
      </w:pPr>
    </w:p>
    <w:p w:rsidR="00962DC0" w:rsidRDefault="00121A29">
      <w:pPr>
        <w:pStyle w:val="2"/>
        <w:spacing w:before="300" w:after="300" w:line="280" w:lineRule="exact"/>
        <w:rPr>
          <w:rFonts w:ascii="宋体" w:eastAsia="宋体" w:hAnsi="宋体" w:cs="宋体"/>
          <w:b/>
          <w:bCs/>
        </w:rPr>
      </w:pPr>
      <w:bookmarkStart w:id="2" w:name="_Toc988891"/>
      <w:r>
        <w:rPr>
          <w:rFonts w:ascii="宋体" w:eastAsia="宋体" w:hAnsi="宋体" w:cs="宋体"/>
          <w:b/>
          <w:bCs/>
        </w:rPr>
        <w:t>（二） 非经常性损益项目和金额</w:t>
      </w:r>
      <w:bookmarkEnd w:id="2"/>
    </w:p>
    <w:p w:rsidR="00962DC0" w:rsidRDefault="00121A29">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2409"/>
        <w:gridCol w:w="2410"/>
        <w:gridCol w:w="2410"/>
        <w:gridCol w:w="2410"/>
      </w:tblGrid>
      <w:tr w:rsidR="00962DC0">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本报告期金额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年初至报告期期末金额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说明</w:t>
            </w:r>
          </w:p>
        </w:tc>
      </w:tr>
      <w:tr w:rsidR="00962DC0">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非流动资产处置损益（包括已计提资产减值准备的冲销部分）</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-29,519.72</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-302,507.05</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固定资产报废损失</w:t>
            </w:r>
          </w:p>
        </w:tc>
      </w:tr>
      <w:tr w:rsidR="00962DC0">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计入当期损益的政府补助（与公司正常经营业务密切相关，符合国家政策规定、按照一定标准定额或定量持续享受的政府补助除外）</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2,278,014.14</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9,935,323.40</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政府补助</w:t>
            </w:r>
          </w:p>
        </w:tc>
      </w:tr>
      <w:tr w:rsidR="00962DC0">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p w:rsidR="00962DC0" w:rsidRDefault="00962DC0">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-235,345.00</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99,258.66</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处置可供出售金融资产等取得的投资收益</w:t>
            </w:r>
          </w:p>
        </w:tc>
      </w:tr>
      <w:tr w:rsidR="00962DC0">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除上述各项之外的其他营业外收入和支出</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-210,205.72</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-209,805.12</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捐赠、抚恤金等</w:t>
            </w:r>
          </w:p>
        </w:tc>
      </w:tr>
      <w:tr w:rsidR="00962DC0">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其他符合非经常性损益定义的损益项目</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52,455.00</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249,911.43</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个税手续费返还及岗前培训补贴等</w:t>
            </w:r>
          </w:p>
        </w:tc>
      </w:tr>
      <w:tr w:rsidR="00962DC0">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lastRenderedPageBreak/>
              <w:t>减：所得税影响额</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286,213.90</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1,481,996.53</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rPr>
                <w:rFonts w:ascii="宋体" w:eastAsia="宋体" w:hAnsi="宋体" w:cs="宋体"/>
                <w:sz w:val="18"/>
                <w:szCs w:val="18"/>
              </w:rPr>
            </w:pPr>
          </w:p>
        </w:tc>
      </w:tr>
      <w:tr w:rsidR="00962DC0">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1,569,184.80</w:t>
            </w:r>
          </w:p>
        </w:tc>
        <w:tc>
          <w:tcPr>
            <w:tcW w:w="2410"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8,290,184.79</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r>
    </w:tbl>
    <w:p w:rsidR="00962DC0" w:rsidRDefault="00121A29">
      <w:pPr>
        <w:spacing w:line="240" w:lineRule="exact"/>
        <w:rPr>
          <w:rFonts w:ascii="宋体" w:eastAsia="宋体" w:hAnsi="宋体" w:cs="宋体"/>
          <w:sz w:val="18"/>
          <w:szCs w:val="18"/>
        </w:rPr>
      </w:pPr>
      <w:r>
        <w:rPr>
          <w:rFonts w:ascii="宋体" w:eastAsia="宋体" w:hAnsi="宋体" w:cs="宋体"/>
          <w:sz w:val="18"/>
          <w:szCs w:val="18"/>
        </w:rPr>
        <w:t>其他符合非经常性损益定义的损益项目的具体情况：</w:t>
      </w:r>
    </w:p>
    <w:p w:rsidR="00962DC0" w:rsidRDefault="00121A29">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962DC0" w:rsidRDefault="00962DC0">
      <w:pPr>
        <w:pStyle w:val="a3"/>
        <w:spacing w:before="0" w:beforeAutospacing="0" w:after="0" w:afterAutospacing="0"/>
        <w:divId w:val="1373381381"/>
        <w:rPr>
          <w:rFonts w:ascii="Times New Roman" w:hAnsi="Times New Roman" w:cs="Times New Roman"/>
        </w:rPr>
      </w:pPr>
      <w:r>
        <w:rPr>
          <w:rFonts w:cs="Times New Roman" w:hint="eastAsia"/>
          <w:sz w:val="18"/>
          <w:szCs w:val="18"/>
        </w:rPr>
        <w:t>包含个税手续费返回7,607.12元，稳岗、就业补贴等242,304.31元。</w:t>
      </w:r>
    </w:p>
    <w:p w:rsidR="00962DC0" w:rsidRDefault="00121A29">
      <w:pPr>
        <w:spacing w:before="40" w:after="40" w:line="240" w:lineRule="exact"/>
        <w:rPr>
          <w:rFonts w:ascii="宋体" w:eastAsia="宋体" w:hAnsi="宋体" w:cs="宋体"/>
          <w:sz w:val="18"/>
          <w:szCs w:val="18"/>
        </w:rPr>
      </w:pPr>
      <w:r>
        <w:rPr>
          <w:rFonts w:ascii="宋体" w:eastAsia="宋体" w:hAnsi="宋体" w:cs="宋体"/>
          <w:sz w:val="18"/>
          <w:szCs w:val="18"/>
        </w:rPr>
        <w:t>将《公开发行证券的公司信息披露解释性公告第1号——非经常性损益》中列举的非经常性损益项目界定为经常性损益项目的情况说明</w:t>
      </w:r>
    </w:p>
    <w:p w:rsidR="00962DC0" w:rsidRDefault="00121A29">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962DC0" w:rsidRDefault="00121A29">
      <w:pPr>
        <w:spacing w:before="100" w:after="100" w:line="240" w:lineRule="exact"/>
        <w:rPr>
          <w:rFonts w:ascii="宋体" w:eastAsia="宋体" w:hAnsi="宋体" w:cs="宋体"/>
          <w:sz w:val="18"/>
          <w:szCs w:val="18"/>
        </w:rPr>
      </w:pPr>
      <w:r>
        <w:rPr>
          <w:rFonts w:ascii="宋体" w:eastAsia="宋体" w:hAnsi="宋体" w:cs="宋体"/>
          <w:sz w:val="18"/>
          <w:szCs w:val="18"/>
        </w:rPr>
        <w:t>公司不存在将《公开发行证券的公司信息披露解释性公告第1号——非经常性损益》中列举的非经常性损益项目界定为经常性损益的项目的情形。</w:t>
      </w:r>
    </w:p>
    <w:p w:rsidR="00962DC0" w:rsidRDefault="00121A29">
      <w:pPr>
        <w:pStyle w:val="2"/>
        <w:spacing w:before="300" w:after="300" w:line="280" w:lineRule="exact"/>
        <w:rPr>
          <w:rFonts w:ascii="宋体" w:eastAsia="宋体" w:hAnsi="宋体" w:cs="宋体"/>
          <w:b/>
          <w:bCs/>
        </w:rPr>
      </w:pPr>
      <w:bookmarkStart w:id="3" w:name="_Toc988892"/>
      <w:r>
        <w:rPr>
          <w:rFonts w:ascii="宋体" w:eastAsia="宋体" w:hAnsi="宋体" w:cs="宋体"/>
          <w:b/>
          <w:bCs/>
        </w:rPr>
        <w:t>（三） 主要会计数据和财务指标发生变动的情况及原因</w:t>
      </w:r>
      <w:bookmarkEnd w:id="3"/>
    </w:p>
    <w:p w:rsidR="00962DC0" w:rsidRDefault="00121A29">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962DC0" w:rsidRDefault="00962DC0">
      <w:pPr>
        <w:pStyle w:val="a3"/>
        <w:divId w:val="1677413730"/>
        <w:rPr>
          <w:sz w:val="18"/>
          <w:szCs w:val="18"/>
        </w:rPr>
      </w:pPr>
      <w:r>
        <w:rPr>
          <w:rStyle w:val="a4"/>
          <w:rFonts w:hint="eastAsia"/>
          <w:sz w:val="18"/>
          <w:szCs w:val="18"/>
        </w:rPr>
        <w:t>1、资产负债表项目变动说明：  单位：元</w:t>
      </w:r>
    </w:p>
    <w:p w:rsidR="00962DC0" w:rsidRDefault="00962DC0">
      <w:pPr>
        <w:pStyle w:val="a3"/>
        <w:divId w:val="1677413730"/>
        <w:rPr>
          <w:sz w:val="18"/>
          <w:szCs w:val="18"/>
        </w:rPr>
      </w:pPr>
      <w:r>
        <w:rPr>
          <w:rFonts w:hint="eastAsia"/>
          <w:sz w:val="18"/>
          <w:szCs w:val="18"/>
        </w:rPr>
        <w:t> </w:t>
      </w:r>
    </w:p>
    <w:tbl>
      <w:tblPr>
        <w:tblW w:w="11299" w:type="dxa"/>
        <w:tblInd w:w="-822" w:type="dxa"/>
        <w:tblCellMar>
          <w:left w:w="0" w:type="dxa"/>
          <w:right w:w="0" w:type="dxa"/>
        </w:tblCellMar>
        <w:tblLook w:val="04A0"/>
      </w:tblPr>
      <w:tblGrid>
        <w:gridCol w:w="1759"/>
        <w:gridCol w:w="2055"/>
        <w:gridCol w:w="2055"/>
        <w:gridCol w:w="1125"/>
        <w:gridCol w:w="4305"/>
      </w:tblGrid>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62DC0" w:rsidRDefault="00962DC0">
            <w:pPr>
              <w:jc w:val="center"/>
              <w:rPr>
                <w:rFonts w:ascii="宋体" w:eastAsia="宋体" w:hAnsi="宋体" w:cs="宋体"/>
                <w:color w:val="000000"/>
                <w:sz w:val="20"/>
                <w:szCs w:val="20"/>
              </w:rPr>
            </w:pPr>
            <w:r>
              <w:rPr>
                <w:rFonts w:hint="eastAsia"/>
                <w:color w:val="000000"/>
                <w:sz w:val="20"/>
                <w:szCs w:val="20"/>
              </w:rPr>
              <w:t>项</w:t>
            </w:r>
            <w:r>
              <w:rPr>
                <w:rFonts w:hint="eastAsia"/>
                <w:color w:val="000000"/>
                <w:sz w:val="20"/>
                <w:szCs w:val="20"/>
              </w:rPr>
              <w:t>    </w:t>
            </w:r>
            <w:r>
              <w:rPr>
                <w:rFonts w:hint="eastAsia"/>
                <w:color w:val="000000"/>
                <w:sz w:val="20"/>
                <w:szCs w:val="20"/>
              </w:rPr>
              <w:t>目</w:t>
            </w:r>
          </w:p>
        </w:tc>
        <w:tc>
          <w:tcPr>
            <w:tcW w:w="20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center"/>
              <w:rPr>
                <w:rFonts w:ascii="宋体" w:eastAsia="宋体" w:hAnsi="宋体" w:cs="宋体"/>
                <w:color w:val="000000"/>
                <w:sz w:val="20"/>
                <w:szCs w:val="20"/>
              </w:rPr>
            </w:pPr>
            <w:r>
              <w:rPr>
                <w:rFonts w:hint="eastAsia"/>
                <w:color w:val="000000"/>
                <w:sz w:val="20"/>
                <w:szCs w:val="20"/>
              </w:rPr>
              <w:t>2022</w:t>
            </w:r>
            <w:r>
              <w:rPr>
                <w:rFonts w:hint="eastAsia"/>
                <w:color w:val="000000"/>
                <w:sz w:val="20"/>
                <w:szCs w:val="20"/>
              </w:rPr>
              <w:t>年</w:t>
            </w:r>
            <w:r>
              <w:rPr>
                <w:rFonts w:hint="eastAsia"/>
                <w:color w:val="000000"/>
                <w:sz w:val="20"/>
                <w:szCs w:val="20"/>
              </w:rPr>
              <w:t>9</w:t>
            </w:r>
            <w:r>
              <w:rPr>
                <w:rFonts w:hint="eastAsia"/>
                <w:color w:val="000000"/>
                <w:sz w:val="20"/>
                <w:szCs w:val="20"/>
              </w:rPr>
              <w:t>月</w:t>
            </w:r>
            <w:r>
              <w:rPr>
                <w:rFonts w:hint="eastAsia"/>
                <w:color w:val="000000"/>
                <w:sz w:val="20"/>
                <w:szCs w:val="20"/>
              </w:rPr>
              <w:t>30</w:t>
            </w:r>
            <w:r>
              <w:rPr>
                <w:rFonts w:hint="eastAsia"/>
                <w:color w:val="000000"/>
                <w:sz w:val="20"/>
                <w:szCs w:val="20"/>
              </w:rPr>
              <w:t>日</w:t>
            </w:r>
          </w:p>
        </w:tc>
        <w:tc>
          <w:tcPr>
            <w:tcW w:w="20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center"/>
              <w:rPr>
                <w:rFonts w:ascii="宋体" w:eastAsia="宋体" w:hAnsi="宋体" w:cs="宋体"/>
                <w:color w:val="000000"/>
                <w:sz w:val="20"/>
                <w:szCs w:val="20"/>
              </w:rPr>
            </w:pPr>
            <w:r>
              <w:rPr>
                <w:rFonts w:hint="eastAsia"/>
                <w:color w:val="000000"/>
                <w:sz w:val="20"/>
                <w:szCs w:val="20"/>
              </w:rPr>
              <w:t>2021</w:t>
            </w:r>
            <w:r>
              <w:rPr>
                <w:rFonts w:hint="eastAsia"/>
                <w:color w:val="000000"/>
                <w:sz w:val="20"/>
                <w:szCs w:val="20"/>
              </w:rPr>
              <w:t>年</w:t>
            </w:r>
            <w:r>
              <w:rPr>
                <w:rFonts w:hint="eastAsia"/>
                <w:color w:val="000000"/>
                <w:sz w:val="20"/>
                <w:szCs w:val="20"/>
              </w:rPr>
              <w:t>12</w:t>
            </w:r>
            <w:r>
              <w:rPr>
                <w:rFonts w:hint="eastAsia"/>
                <w:color w:val="000000"/>
                <w:sz w:val="20"/>
                <w:szCs w:val="20"/>
              </w:rPr>
              <w:t>月</w:t>
            </w:r>
            <w:r>
              <w:rPr>
                <w:rFonts w:hint="eastAsia"/>
                <w:color w:val="000000"/>
                <w:sz w:val="20"/>
                <w:szCs w:val="20"/>
              </w:rPr>
              <w:t>31</w:t>
            </w:r>
            <w:r>
              <w:rPr>
                <w:rFonts w:hint="eastAsia"/>
                <w:color w:val="000000"/>
                <w:sz w:val="20"/>
                <w:szCs w:val="20"/>
              </w:rPr>
              <w:t>日</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center"/>
              <w:rPr>
                <w:rFonts w:ascii="宋体" w:eastAsia="宋体" w:hAnsi="宋体" w:cs="宋体"/>
                <w:color w:val="000000"/>
                <w:sz w:val="20"/>
                <w:szCs w:val="20"/>
              </w:rPr>
            </w:pPr>
            <w:r>
              <w:rPr>
                <w:rFonts w:hint="eastAsia"/>
                <w:color w:val="000000"/>
                <w:sz w:val="20"/>
                <w:szCs w:val="20"/>
              </w:rPr>
              <w:t>增减变动率</w:t>
            </w:r>
          </w:p>
        </w:tc>
        <w:tc>
          <w:tcPr>
            <w:tcW w:w="43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变化原因</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交易性金融资产</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0.00 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504,264.00 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-100.00%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主要系远期结售汇合约到期所致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应收账款</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271,630,356.06 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193,849,372.89 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40.12%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主要系未到期应收客户款增加所致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预付款项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23,425,550.97 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15,845,716.48 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47.84%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主要系原料供应商预付款增加所致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其他流动资产</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20,131,032.50 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76,965,042.79 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-73.84%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主要系收到增值税增存量留抵退税</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在建工程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27,280,575.04 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55,410,143.45 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-50.77%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主要系在建工程达到可使用状态转固增加所致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使用权资产</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0.00 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686,502.13 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-100.00%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w:t>
            </w:r>
            <w:r w:rsidR="00F21FC5">
              <w:rPr>
                <w:rFonts w:hint="eastAsia"/>
                <w:color w:val="000000"/>
                <w:sz w:val="20"/>
                <w:szCs w:val="20"/>
              </w:rPr>
              <w:t>厂房租赁到期</w:t>
            </w:r>
            <w:r>
              <w:rPr>
                <w:rFonts w:hint="eastAsia"/>
                <w:color w:val="000000"/>
                <w:sz w:val="20"/>
                <w:szCs w:val="20"/>
              </w:rPr>
              <w:t>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递延所得税资产</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15,688,550.05 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10,000,579.19 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56.88%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62DC0" w:rsidRDefault="00962DC0">
            <w:pPr>
              <w:rPr>
                <w:rFonts w:ascii="宋体" w:eastAsia="宋体" w:hAnsi="宋体" w:cs="宋体"/>
                <w:color w:val="333333"/>
                <w:sz w:val="20"/>
                <w:szCs w:val="20"/>
              </w:rPr>
            </w:pPr>
            <w:r>
              <w:rPr>
                <w:rFonts w:hint="eastAsia"/>
                <w:color w:val="333333"/>
                <w:sz w:val="20"/>
                <w:szCs w:val="20"/>
              </w:rPr>
              <w:t>主要系实施股权激励</w:t>
            </w:r>
            <w:r w:rsidR="00BC2375">
              <w:rPr>
                <w:rFonts w:hint="eastAsia"/>
                <w:color w:val="333333"/>
                <w:sz w:val="20"/>
                <w:szCs w:val="20"/>
              </w:rPr>
              <w:t>及坏账准备</w:t>
            </w:r>
            <w:r>
              <w:rPr>
                <w:rFonts w:hint="eastAsia"/>
                <w:color w:val="333333"/>
                <w:sz w:val="20"/>
                <w:szCs w:val="20"/>
              </w:rPr>
              <w:t>增加所致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其他非流动资产</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16,860,752.72 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12,371,197.82 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36.29%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主要系预付工程设备款增加所致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合同负债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3,176,609.48 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6,302,744.57 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-49.60%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主要系预收客户款减少所致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应付职工薪酬</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1,889,126.53 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3,186,357.55 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-40.71%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w:t>
            </w:r>
            <w:r w:rsidR="00F21FC5">
              <w:rPr>
                <w:rFonts w:hint="eastAsia"/>
                <w:color w:val="000000"/>
                <w:sz w:val="20"/>
                <w:szCs w:val="20"/>
              </w:rPr>
              <w:t>应付职工薪酬减少</w:t>
            </w:r>
            <w:r>
              <w:rPr>
                <w:rFonts w:hint="eastAsia"/>
                <w:color w:val="000000"/>
                <w:sz w:val="20"/>
                <w:szCs w:val="20"/>
              </w:rPr>
              <w:t>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应交税费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8,109,823.44 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1,932,493.93 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319.66%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主要系应交增值税增加所致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一年内到期的非流动负债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82,180,000.00 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40,486,502.13 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102.98%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主要系一年内到期的长期借款增加所致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其他流动负债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1,378,602.56 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2,814,219.72 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-51.01%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主要系可转债应付利息减少所致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长期借款</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149,920,000.00 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227,400,000.00 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-34.07%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主要系转至一年内到期借款增加所致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递延收益</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10,151,620.87 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6,705,037.22 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51.40%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主要系收到政府补助的增加所致</w:t>
            </w:r>
          </w:p>
        </w:tc>
      </w:tr>
      <w:tr w:rsidR="00962DC0" w:rsidTr="007F6EA8">
        <w:trPr>
          <w:divId w:val="1677413730"/>
          <w:trHeight w:val="270"/>
        </w:trPr>
        <w:tc>
          <w:tcPr>
            <w:tcW w:w="1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递延所得税负债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104,436.48 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357,426.11 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-70.78%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w:t>
            </w:r>
            <w:r w:rsidR="00F21FC5">
              <w:rPr>
                <w:rFonts w:hint="eastAsia"/>
                <w:color w:val="000000"/>
                <w:sz w:val="20"/>
                <w:szCs w:val="20"/>
              </w:rPr>
              <w:t>上年内部交易利润的实现</w:t>
            </w:r>
            <w:r>
              <w:rPr>
                <w:rFonts w:hint="eastAsia"/>
                <w:color w:val="000000"/>
                <w:sz w:val="20"/>
                <w:szCs w:val="20"/>
              </w:rPr>
              <w:t>所致</w:t>
            </w:r>
          </w:p>
        </w:tc>
      </w:tr>
    </w:tbl>
    <w:p w:rsidR="00962DC0" w:rsidRDefault="00962DC0">
      <w:pPr>
        <w:pStyle w:val="a3"/>
        <w:divId w:val="1677413730"/>
        <w:rPr>
          <w:sz w:val="18"/>
          <w:szCs w:val="18"/>
        </w:rPr>
      </w:pPr>
      <w:r>
        <w:rPr>
          <w:rFonts w:hint="eastAsia"/>
          <w:sz w:val="18"/>
          <w:szCs w:val="18"/>
        </w:rPr>
        <w:t> </w:t>
      </w:r>
    </w:p>
    <w:p w:rsidR="007F6EA8" w:rsidRDefault="007F6EA8">
      <w:pPr>
        <w:pStyle w:val="a3"/>
        <w:divId w:val="1677413730"/>
        <w:rPr>
          <w:sz w:val="18"/>
          <w:szCs w:val="18"/>
        </w:rPr>
      </w:pPr>
    </w:p>
    <w:p w:rsidR="007F6EA8" w:rsidRDefault="007F6EA8">
      <w:pPr>
        <w:pStyle w:val="a3"/>
        <w:divId w:val="1677413730"/>
        <w:rPr>
          <w:sz w:val="18"/>
          <w:szCs w:val="18"/>
        </w:rPr>
      </w:pPr>
    </w:p>
    <w:p w:rsidR="007F6EA8" w:rsidRDefault="007F6EA8">
      <w:pPr>
        <w:pStyle w:val="a3"/>
        <w:divId w:val="1677413730"/>
        <w:rPr>
          <w:sz w:val="18"/>
          <w:szCs w:val="18"/>
        </w:rPr>
      </w:pPr>
    </w:p>
    <w:p w:rsidR="007F6EA8" w:rsidRDefault="007F6EA8">
      <w:pPr>
        <w:pStyle w:val="a3"/>
        <w:divId w:val="1677413730"/>
        <w:rPr>
          <w:sz w:val="18"/>
          <w:szCs w:val="18"/>
        </w:rPr>
      </w:pPr>
    </w:p>
    <w:p w:rsidR="007F6EA8" w:rsidRDefault="00962DC0">
      <w:pPr>
        <w:pStyle w:val="a3"/>
        <w:divId w:val="1677413730"/>
        <w:rPr>
          <w:sz w:val="18"/>
          <w:szCs w:val="18"/>
        </w:rPr>
      </w:pPr>
      <w:r>
        <w:rPr>
          <w:rStyle w:val="a4"/>
          <w:rFonts w:hint="eastAsia"/>
          <w:sz w:val="18"/>
          <w:szCs w:val="18"/>
        </w:rPr>
        <w:lastRenderedPageBreak/>
        <w:t>2、利润表项目变动说明：  单位：元</w:t>
      </w:r>
    </w:p>
    <w:tbl>
      <w:tblPr>
        <w:tblW w:w="10559" w:type="dxa"/>
        <w:tblInd w:w="-269" w:type="dxa"/>
        <w:tblCellMar>
          <w:left w:w="0" w:type="dxa"/>
          <w:right w:w="0" w:type="dxa"/>
        </w:tblCellMar>
        <w:tblLook w:val="04A0"/>
      </w:tblPr>
      <w:tblGrid>
        <w:gridCol w:w="1277"/>
        <w:gridCol w:w="1692"/>
        <w:gridCol w:w="1710"/>
        <w:gridCol w:w="1417"/>
        <w:gridCol w:w="4463"/>
      </w:tblGrid>
      <w:tr w:rsidR="00962DC0" w:rsidTr="007F6EA8">
        <w:trPr>
          <w:divId w:val="1677413730"/>
          <w:trHeight w:val="270"/>
        </w:trPr>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62DC0" w:rsidRDefault="00962DC0">
            <w:pPr>
              <w:jc w:val="center"/>
              <w:rPr>
                <w:rFonts w:ascii="宋体" w:eastAsia="宋体" w:hAnsi="宋体" w:cs="宋体"/>
                <w:color w:val="000000"/>
                <w:sz w:val="20"/>
                <w:szCs w:val="20"/>
              </w:rPr>
            </w:pPr>
            <w:r>
              <w:rPr>
                <w:rFonts w:hint="eastAsia"/>
                <w:color w:val="000000"/>
                <w:sz w:val="20"/>
                <w:szCs w:val="20"/>
              </w:rPr>
              <w:t>项</w:t>
            </w:r>
            <w:r>
              <w:rPr>
                <w:rFonts w:ascii="Times New Roman" w:hAnsi="Times New Roman" w:cs="Times New Roman"/>
                <w:color w:val="000000"/>
                <w:sz w:val="20"/>
                <w:szCs w:val="20"/>
              </w:rPr>
              <w:t>       </w:t>
            </w:r>
            <w:r>
              <w:rPr>
                <w:rFonts w:hint="eastAsia"/>
                <w:color w:val="000000"/>
                <w:sz w:val="20"/>
                <w:szCs w:val="20"/>
              </w:rPr>
              <w:t>目</w:t>
            </w:r>
          </w:p>
        </w:tc>
        <w:tc>
          <w:tcPr>
            <w:tcW w:w="1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2022</w:t>
            </w:r>
            <w:r>
              <w:rPr>
                <w:rFonts w:cs="Times New Roman" w:hint="eastAsia"/>
                <w:color w:val="000000"/>
                <w:sz w:val="20"/>
                <w:szCs w:val="20"/>
              </w:rPr>
              <w:t>年</w:t>
            </w:r>
            <w:r>
              <w:rPr>
                <w:rFonts w:ascii="Times New Roman" w:hAnsi="Times New Roman" w:cs="Times New Roman"/>
                <w:color w:val="000000"/>
                <w:sz w:val="20"/>
                <w:szCs w:val="20"/>
              </w:rPr>
              <w:t>1-9</w:t>
            </w:r>
            <w:r>
              <w:rPr>
                <w:rFonts w:cs="Times New Roman" w:hint="eastAsia"/>
                <w:color w:val="000000"/>
                <w:sz w:val="20"/>
                <w:szCs w:val="20"/>
              </w:rPr>
              <w:t>月</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Times New Roman" w:eastAsia="宋体" w:hAnsi="Times New Roman" w:cs="Times New Roman"/>
                <w:color w:val="000000"/>
                <w:sz w:val="20"/>
                <w:szCs w:val="20"/>
              </w:rPr>
            </w:pPr>
            <w:r>
              <w:rPr>
                <w:rFonts w:ascii="Times New Roman" w:hAnsi="Times New Roman" w:cs="Times New Roman"/>
                <w:color w:val="000000"/>
                <w:sz w:val="20"/>
                <w:szCs w:val="20"/>
              </w:rPr>
              <w:t>2021</w:t>
            </w:r>
            <w:r>
              <w:rPr>
                <w:rFonts w:cs="Times New Roman" w:hint="eastAsia"/>
                <w:color w:val="000000"/>
                <w:sz w:val="20"/>
                <w:szCs w:val="20"/>
              </w:rPr>
              <w:t>年</w:t>
            </w:r>
            <w:r>
              <w:rPr>
                <w:rFonts w:ascii="Times New Roman" w:hAnsi="Times New Roman" w:cs="Times New Roman"/>
                <w:color w:val="000000"/>
                <w:sz w:val="20"/>
                <w:szCs w:val="20"/>
              </w:rPr>
              <w:t>1-9</w:t>
            </w:r>
            <w:r>
              <w:rPr>
                <w:rFonts w:cs="Times New Roman" w:hint="eastAsia"/>
                <w:color w:val="000000"/>
                <w:sz w:val="20"/>
                <w:szCs w:val="20"/>
              </w:rPr>
              <w:t>月</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center"/>
              <w:rPr>
                <w:rFonts w:ascii="宋体" w:eastAsia="宋体" w:hAnsi="宋体" w:cs="宋体"/>
                <w:color w:val="000000"/>
                <w:sz w:val="20"/>
                <w:szCs w:val="20"/>
              </w:rPr>
            </w:pPr>
            <w:r>
              <w:rPr>
                <w:rFonts w:hint="eastAsia"/>
                <w:color w:val="000000"/>
                <w:sz w:val="20"/>
                <w:szCs w:val="20"/>
              </w:rPr>
              <w:t>增减变动率</w:t>
            </w:r>
          </w:p>
        </w:tc>
        <w:tc>
          <w:tcPr>
            <w:tcW w:w="44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变化原因</w:t>
            </w:r>
          </w:p>
        </w:tc>
      </w:tr>
      <w:tr w:rsidR="00962DC0" w:rsidTr="007F6EA8">
        <w:trPr>
          <w:divId w:val="1677413730"/>
          <w:trHeight w:val="270"/>
        </w:trPr>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税金及附加</w:t>
            </w:r>
          </w:p>
        </w:tc>
        <w:tc>
          <w:tcPr>
            <w:tcW w:w="1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3,662,592.81 </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2,279,629.52 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60.67%</w:t>
            </w:r>
          </w:p>
        </w:tc>
        <w:tc>
          <w:tcPr>
            <w:tcW w:w="44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主要系税费增加所致</w:t>
            </w:r>
          </w:p>
        </w:tc>
      </w:tr>
      <w:tr w:rsidR="00962DC0" w:rsidTr="007F6EA8">
        <w:trPr>
          <w:divId w:val="1677413730"/>
          <w:trHeight w:val="270"/>
        </w:trPr>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销售费用</w:t>
            </w:r>
          </w:p>
        </w:tc>
        <w:tc>
          <w:tcPr>
            <w:tcW w:w="1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5,615,514.63 </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3,570,728.39 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57.27%</w:t>
            </w:r>
          </w:p>
        </w:tc>
        <w:tc>
          <w:tcPr>
            <w:tcW w:w="44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333333"/>
                <w:sz w:val="20"/>
                <w:szCs w:val="20"/>
              </w:rPr>
            </w:pPr>
            <w:r>
              <w:rPr>
                <w:rFonts w:hint="eastAsia"/>
                <w:color w:val="333333"/>
                <w:sz w:val="20"/>
                <w:szCs w:val="20"/>
              </w:rPr>
              <w:t>主要系销售业务费用增加所致</w:t>
            </w:r>
          </w:p>
        </w:tc>
      </w:tr>
      <w:tr w:rsidR="00962DC0" w:rsidTr="007F6EA8">
        <w:trPr>
          <w:divId w:val="1677413730"/>
          <w:trHeight w:val="270"/>
        </w:trPr>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管理费用</w:t>
            </w:r>
          </w:p>
        </w:tc>
        <w:tc>
          <w:tcPr>
            <w:tcW w:w="1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53,572,916.85 </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36,018,642.23 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48.74%</w:t>
            </w:r>
          </w:p>
        </w:tc>
        <w:tc>
          <w:tcPr>
            <w:tcW w:w="44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FF0000"/>
                <w:sz w:val="20"/>
                <w:szCs w:val="20"/>
              </w:rPr>
            </w:pPr>
            <w:r>
              <w:rPr>
                <w:rFonts w:hint="eastAsia"/>
                <w:color w:val="000000"/>
                <w:sz w:val="20"/>
                <w:szCs w:val="20"/>
              </w:rPr>
              <w:t>主要系实施股权激励和矿业停工损失增加所致</w:t>
            </w:r>
          </w:p>
        </w:tc>
      </w:tr>
      <w:tr w:rsidR="00962DC0" w:rsidTr="007F6EA8">
        <w:trPr>
          <w:divId w:val="1677413730"/>
          <w:trHeight w:val="270"/>
        </w:trPr>
        <w:tc>
          <w:tcPr>
            <w:tcW w:w="12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其他收益</w:t>
            </w:r>
          </w:p>
        </w:tc>
        <w:tc>
          <w:tcPr>
            <w:tcW w:w="1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6,767,676.49 </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3,480,931.53 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94.42%</w:t>
            </w:r>
          </w:p>
        </w:tc>
        <w:tc>
          <w:tcPr>
            <w:tcW w:w="44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333333"/>
                <w:sz w:val="20"/>
                <w:szCs w:val="20"/>
              </w:rPr>
            </w:pPr>
            <w:r>
              <w:rPr>
                <w:rFonts w:hint="eastAsia"/>
                <w:color w:val="333333"/>
                <w:sz w:val="20"/>
                <w:szCs w:val="20"/>
              </w:rPr>
              <w:t>主要系收到政府补助的增加所致</w:t>
            </w:r>
          </w:p>
        </w:tc>
      </w:tr>
      <w:tr w:rsidR="00962DC0" w:rsidTr="007F6EA8">
        <w:trPr>
          <w:divId w:val="1677413730"/>
          <w:trHeight w:val="270"/>
        </w:trPr>
        <w:tc>
          <w:tcPr>
            <w:tcW w:w="12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信用减值损失</w:t>
            </w:r>
          </w:p>
        </w:tc>
        <w:tc>
          <w:tcPr>
            <w:tcW w:w="1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-620,060.95 </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978,308.77 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-163.38%</w:t>
            </w:r>
          </w:p>
        </w:tc>
        <w:tc>
          <w:tcPr>
            <w:tcW w:w="44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主要系应收账款坏账计提增加所致</w:t>
            </w:r>
          </w:p>
        </w:tc>
      </w:tr>
      <w:tr w:rsidR="00962DC0" w:rsidTr="007F6EA8">
        <w:trPr>
          <w:divId w:val="1677413730"/>
          <w:trHeight w:val="270"/>
        </w:trPr>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资产减值损失</w:t>
            </w:r>
          </w:p>
        </w:tc>
        <w:tc>
          <w:tcPr>
            <w:tcW w:w="1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-2,115,017.40 </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-3,865,702.61 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45.29%</w:t>
            </w:r>
          </w:p>
        </w:tc>
        <w:tc>
          <w:tcPr>
            <w:tcW w:w="44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主要系存货跌价准备计提减少所致</w:t>
            </w:r>
          </w:p>
        </w:tc>
      </w:tr>
      <w:tr w:rsidR="00962DC0" w:rsidTr="007F6EA8">
        <w:trPr>
          <w:divId w:val="1677413730"/>
          <w:trHeight w:val="270"/>
        </w:trPr>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资产处置收益</w:t>
            </w:r>
          </w:p>
        </w:tc>
        <w:tc>
          <w:tcPr>
            <w:tcW w:w="1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0.00 </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-642,621.31 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100.00%</w:t>
            </w:r>
          </w:p>
        </w:tc>
        <w:tc>
          <w:tcPr>
            <w:tcW w:w="44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主要系江西老厂区资产处置减少所致</w:t>
            </w:r>
          </w:p>
        </w:tc>
      </w:tr>
      <w:tr w:rsidR="00962DC0" w:rsidTr="007F6EA8">
        <w:trPr>
          <w:divId w:val="1677413730"/>
          <w:trHeight w:val="270"/>
        </w:trPr>
        <w:tc>
          <w:tcPr>
            <w:tcW w:w="12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营业外支出</w:t>
            </w:r>
          </w:p>
        </w:tc>
        <w:tc>
          <w:tcPr>
            <w:tcW w:w="1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513,612.17 </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931,365.24 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-44.85%</w:t>
            </w:r>
          </w:p>
        </w:tc>
        <w:tc>
          <w:tcPr>
            <w:tcW w:w="44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F21FC5">
            <w:pPr>
              <w:rPr>
                <w:rFonts w:ascii="宋体" w:eastAsia="宋体" w:hAnsi="宋体" w:cs="宋体"/>
                <w:color w:val="000000"/>
                <w:sz w:val="20"/>
                <w:szCs w:val="20"/>
              </w:rPr>
            </w:pPr>
            <w:r>
              <w:rPr>
                <w:rFonts w:hint="eastAsia"/>
                <w:color w:val="000000"/>
                <w:sz w:val="20"/>
                <w:szCs w:val="20"/>
              </w:rPr>
              <w:t>主要系固定资产报废</w:t>
            </w:r>
            <w:r w:rsidR="00962DC0">
              <w:rPr>
                <w:rFonts w:hint="eastAsia"/>
                <w:color w:val="000000"/>
                <w:sz w:val="20"/>
                <w:szCs w:val="20"/>
              </w:rPr>
              <w:t>减少所致</w:t>
            </w:r>
          </w:p>
        </w:tc>
      </w:tr>
      <w:tr w:rsidR="00962DC0" w:rsidTr="007F6EA8">
        <w:trPr>
          <w:divId w:val="1677413730"/>
          <w:trHeight w:val="270"/>
        </w:trPr>
        <w:tc>
          <w:tcPr>
            <w:tcW w:w="12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rPr>
                <w:rFonts w:ascii="宋体" w:eastAsia="宋体" w:hAnsi="宋体" w:cs="宋体"/>
                <w:color w:val="000000"/>
                <w:sz w:val="20"/>
                <w:szCs w:val="20"/>
              </w:rPr>
            </w:pPr>
            <w:r>
              <w:rPr>
                <w:rFonts w:hint="eastAsia"/>
                <w:color w:val="000000"/>
                <w:sz w:val="20"/>
                <w:szCs w:val="20"/>
              </w:rPr>
              <w:t>所得税费用</w:t>
            </w:r>
          </w:p>
        </w:tc>
        <w:tc>
          <w:tcPr>
            <w:tcW w:w="1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-6,839,968.95 </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1,124,231.14 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pPr>
              <w:jc w:val="right"/>
              <w:rPr>
                <w:rFonts w:ascii="宋体" w:eastAsia="宋体" w:hAnsi="宋体" w:cs="宋体"/>
                <w:color w:val="000000"/>
                <w:sz w:val="20"/>
                <w:szCs w:val="20"/>
              </w:rPr>
            </w:pPr>
            <w:r>
              <w:rPr>
                <w:rFonts w:hint="eastAsia"/>
                <w:color w:val="000000"/>
                <w:sz w:val="20"/>
                <w:szCs w:val="20"/>
              </w:rPr>
              <w:t>-708.41%</w:t>
            </w:r>
          </w:p>
        </w:tc>
        <w:tc>
          <w:tcPr>
            <w:tcW w:w="44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62DC0" w:rsidRDefault="00962DC0" w:rsidP="00BC2375">
            <w:pPr>
              <w:rPr>
                <w:rFonts w:ascii="宋体" w:eastAsia="宋体" w:hAnsi="宋体" w:cs="宋体"/>
                <w:color w:val="FF0000"/>
                <w:sz w:val="20"/>
                <w:szCs w:val="20"/>
              </w:rPr>
            </w:pPr>
            <w:r>
              <w:rPr>
                <w:rFonts w:hint="eastAsia"/>
                <w:color w:val="000000"/>
                <w:sz w:val="20"/>
                <w:szCs w:val="20"/>
              </w:rPr>
              <w:t>主要系</w:t>
            </w:r>
            <w:r w:rsidR="00BC2375">
              <w:rPr>
                <w:rFonts w:hint="eastAsia"/>
                <w:color w:val="000000"/>
                <w:sz w:val="20"/>
                <w:szCs w:val="20"/>
              </w:rPr>
              <w:t>递延所得税资产增加所致</w:t>
            </w:r>
          </w:p>
        </w:tc>
      </w:tr>
    </w:tbl>
    <w:p w:rsidR="00962DC0" w:rsidRDefault="00962DC0">
      <w:pPr>
        <w:pStyle w:val="a3"/>
        <w:divId w:val="1677413730"/>
        <w:rPr>
          <w:sz w:val="18"/>
          <w:szCs w:val="18"/>
        </w:rPr>
      </w:pPr>
    </w:p>
    <w:p w:rsidR="00962DC0" w:rsidRDefault="00962DC0">
      <w:pPr>
        <w:pStyle w:val="a3"/>
        <w:divId w:val="1677413730"/>
        <w:rPr>
          <w:sz w:val="18"/>
          <w:szCs w:val="18"/>
        </w:rPr>
      </w:pPr>
      <w:r>
        <w:rPr>
          <w:rStyle w:val="a4"/>
          <w:rFonts w:hint="eastAsia"/>
          <w:sz w:val="18"/>
          <w:szCs w:val="18"/>
        </w:rPr>
        <w:t>3、现金流量表项目变动说明：  单位：元</w:t>
      </w:r>
    </w:p>
    <w:tbl>
      <w:tblPr>
        <w:tblpPr w:leftFromText="180" w:rightFromText="180" w:vertAnchor="text" w:horzAnchor="margin" w:tblpY="382"/>
        <w:tblW w:w="9513" w:type="dxa"/>
        <w:tblCellMar>
          <w:left w:w="0" w:type="dxa"/>
          <w:right w:w="0" w:type="dxa"/>
        </w:tblCellMar>
        <w:tblLook w:val="04A0"/>
      </w:tblPr>
      <w:tblGrid>
        <w:gridCol w:w="1244"/>
        <w:gridCol w:w="1301"/>
        <w:gridCol w:w="1359"/>
        <w:gridCol w:w="1073"/>
        <w:gridCol w:w="4536"/>
      </w:tblGrid>
      <w:tr w:rsidR="007F6EA8" w:rsidTr="007F6EA8">
        <w:trPr>
          <w:divId w:val="1677413730"/>
          <w:trHeight w:val="270"/>
        </w:trPr>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jc w:val="center"/>
              <w:rPr>
                <w:rFonts w:ascii="宋体" w:eastAsia="宋体" w:hAnsi="宋体" w:cs="宋体"/>
                <w:color w:val="000000"/>
                <w:sz w:val="20"/>
                <w:szCs w:val="20"/>
              </w:rPr>
            </w:pPr>
            <w:r>
              <w:rPr>
                <w:rFonts w:hint="eastAsia"/>
                <w:color w:val="000000"/>
                <w:sz w:val="20"/>
                <w:szCs w:val="20"/>
              </w:rPr>
              <w:t>       </w:t>
            </w:r>
            <w:r>
              <w:rPr>
                <w:rFonts w:hint="eastAsia"/>
                <w:color w:val="000000"/>
                <w:sz w:val="20"/>
                <w:szCs w:val="20"/>
              </w:rPr>
              <w:t>项</w:t>
            </w:r>
            <w:r>
              <w:rPr>
                <w:rFonts w:hint="eastAsia"/>
                <w:color w:val="000000"/>
                <w:sz w:val="20"/>
                <w:szCs w:val="20"/>
              </w:rPr>
              <w:t>          </w:t>
            </w:r>
            <w:r>
              <w:rPr>
                <w:rFonts w:hint="eastAsia"/>
                <w:color w:val="000000"/>
                <w:sz w:val="20"/>
                <w:szCs w:val="20"/>
              </w:rPr>
              <w:t>目</w:t>
            </w:r>
            <w:r>
              <w:rPr>
                <w:rFonts w:hint="eastAsia"/>
                <w:color w:val="000000"/>
                <w:sz w:val="20"/>
                <w:szCs w:val="20"/>
              </w:rPr>
              <w:t> </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jc w:val="center"/>
              <w:rPr>
                <w:rFonts w:ascii="宋体" w:eastAsia="宋体" w:hAnsi="宋体" w:cs="宋体"/>
                <w:color w:val="000000"/>
                <w:sz w:val="20"/>
                <w:szCs w:val="20"/>
              </w:rPr>
            </w:pPr>
            <w:r>
              <w:rPr>
                <w:rFonts w:hint="eastAsia"/>
                <w:color w:val="000000"/>
                <w:sz w:val="20"/>
                <w:szCs w:val="20"/>
              </w:rPr>
              <w:t>2022</w:t>
            </w:r>
            <w:r>
              <w:rPr>
                <w:rFonts w:hint="eastAsia"/>
                <w:color w:val="000000"/>
                <w:sz w:val="20"/>
                <w:szCs w:val="20"/>
              </w:rPr>
              <w:t>年</w:t>
            </w:r>
            <w:r>
              <w:rPr>
                <w:rFonts w:hint="eastAsia"/>
                <w:color w:val="000000"/>
                <w:sz w:val="20"/>
                <w:szCs w:val="20"/>
              </w:rPr>
              <w:t>1-9</w:t>
            </w:r>
            <w:r>
              <w:rPr>
                <w:rFonts w:hint="eastAsia"/>
                <w:color w:val="000000"/>
                <w:sz w:val="20"/>
                <w:szCs w:val="20"/>
              </w:rPr>
              <w:t>月</w:t>
            </w:r>
          </w:p>
        </w:tc>
        <w:tc>
          <w:tcPr>
            <w:tcW w:w="13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rPr>
                <w:rFonts w:ascii="宋体" w:eastAsia="宋体" w:hAnsi="宋体" w:cs="宋体"/>
                <w:color w:val="000000"/>
                <w:sz w:val="20"/>
                <w:szCs w:val="20"/>
              </w:rPr>
            </w:pPr>
            <w:r>
              <w:rPr>
                <w:rFonts w:hint="eastAsia"/>
                <w:color w:val="000000"/>
                <w:sz w:val="20"/>
                <w:szCs w:val="20"/>
              </w:rPr>
              <w:t>2021</w:t>
            </w:r>
            <w:r>
              <w:rPr>
                <w:rFonts w:hint="eastAsia"/>
                <w:color w:val="000000"/>
                <w:sz w:val="20"/>
                <w:szCs w:val="20"/>
              </w:rPr>
              <w:t>年</w:t>
            </w:r>
            <w:r>
              <w:rPr>
                <w:rFonts w:hint="eastAsia"/>
                <w:color w:val="000000"/>
                <w:sz w:val="20"/>
                <w:szCs w:val="20"/>
              </w:rPr>
              <w:t>1-9</w:t>
            </w:r>
            <w:r>
              <w:rPr>
                <w:rFonts w:hint="eastAsia"/>
                <w:color w:val="000000"/>
                <w:sz w:val="20"/>
                <w:szCs w:val="20"/>
              </w:rPr>
              <w:t>月</w:t>
            </w:r>
          </w:p>
        </w:tc>
        <w:tc>
          <w:tcPr>
            <w:tcW w:w="10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jc w:val="center"/>
              <w:rPr>
                <w:rFonts w:ascii="宋体" w:eastAsia="宋体" w:hAnsi="宋体" w:cs="宋体"/>
                <w:color w:val="000000"/>
                <w:sz w:val="20"/>
                <w:szCs w:val="20"/>
              </w:rPr>
            </w:pPr>
            <w:r>
              <w:rPr>
                <w:rFonts w:hint="eastAsia"/>
                <w:color w:val="000000"/>
                <w:sz w:val="20"/>
                <w:szCs w:val="20"/>
              </w:rPr>
              <w:t>增减变动率</w:t>
            </w:r>
          </w:p>
        </w:tc>
        <w:tc>
          <w:tcPr>
            <w:tcW w:w="45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rPr>
                <w:rFonts w:ascii="宋体" w:eastAsia="宋体" w:hAnsi="宋体" w:cs="宋体"/>
                <w:color w:val="000000"/>
                <w:sz w:val="20"/>
                <w:szCs w:val="20"/>
              </w:rPr>
            </w:pPr>
            <w:r>
              <w:rPr>
                <w:rFonts w:hint="eastAsia"/>
                <w:color w:val="000000"/>
                <w:sz w:val="20"/>
                <w:szCs w:val="20"/>
              </w:rPr>
              <w:t>变化原因</w:t>
            </w:r>
          </w:p>
        </w:tc>
      </w:tr>
      <w:tr w:rsidR="007F6EA8" w:rsidTr="007F6EA8">
        <w:trPr>
          <w:divId w:val="1677413730"/>
          <w:trHeight w:val="270"/>
        </w:trPr>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rPr>
                <w:rFonts w:ascii="宋体" w:eastAsia="宋体" w:hAnsi="宋体" w:cs="宋体"/>
                <w:color w:val="000000"/>
                <w:sz w:val="20"/>
                <w:szCs w:val="20"/>
              </w:rPr>
            </w:pPr>
            <w:r>
              <w:rPr>
                <w:rFonts w:hint="eastAsia"/>
                <w:color w:val="000000"/>
                <w:sz w:val="20"/>
                <w:szCs w:val="20"/>
              </w:rPr>
              <w:t> </w:t>
            </w:r>
            <w:r>
              <w:rPr>
                <w:rFonts w:hint="eastAsia"/>
                <w:color w:val="000000"/>
                <w:sz w:val="20"/>
                <w:szCs w:val="20"/>
              </w:rPr>
              <w:t>经营活动产生的现金流量净额</w:t>
            </w:r>
            <w:r>
              <w:rPr>
                <w:rFonts w:hint="eastAsia"/>
                <w:color w:val="000000"/>
                <w:sz w:val="20"/>
                <w:szCs w:val="20"/>
              </w:rPr>
              <w:t> </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jc w:val="right"/>
              <w:rPr>
                <w:rFonts w:ascii="宋体" w:eastAsia="宋体" w:hAnsi="宋体" w:cs="宋体"/>
                <w:color w:val="000000"/>
                <w:sz w:val="20"/>
                <w:szCs w:val="20"/>
              </w:rPr>
            </w:pPr>
            <w:r>
              <w:rPr>
                <w:rFonts w:hint="eastAsia"/>
                <w:color w:val="000000"/>
                <w:sz w:val="20"/>
                <w:szCs w:val="20"/>
              </w:rPr>
              <w:t>44,507,839.61 </w:t>
            </w:r>
          </w:p>
        </w:tc>
        <w:tc>
          <w:tcPr>
            <w:tcW w:w="13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jc w:val="right"/>
              <w:rPr>
                <w:rFonts w:ascii="宋体" w:eastAsia="宋体" w:hAnsi="宋体" w:cs="宋体"/>
                <w:color w:val="000000"/>
                <w:sz w:val="20"/>
                <w:szCs w:val="20"/>
              </w:rPr>
            </w:pPr>
            <w:r>
              <w:rPr>
                <w:rFonts w:hint="eastAsia"/>
                <w:color w:val="000000"/>
                <w:sz w:val="20"/>
                <w:szCs w:val="20"/>
              </w:rPr>
              <w:t>9,864,550.83 </w:t>
            </w:r>
          </w:p>
        </w:tc>
        <w:tc>
          <w:tcPr>
            <w:tcW w:w="10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jc w:val="right"/>
              <w:rPr>
                <w:rFonts w:ascii="宋体" w:eastAsia="宋体" w:hAnsi="宋体" w:cs="宋体"/>
                <w:color w:val="000000"/>
                <w:sz w:val="20"/>
                <w:szCs w:val="20"/>
              </w:rPr>
            </w:pPr>
            <w:r>
              <w:rPr>
                <w:rFonts w:hint="eastAsia"/>
                <w:color w:val="000000"/>
                <w:sz w:val="20"/>
                <w:szCs w:val="20"/>
              </w:rPr>
              <w:t>351.19%</w:t>
            </w:r>
          </w:p>
        </w:tc>
        <w:tc>
          <w:tcPr>
            <w:tcW w:w="45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rPr>
                <w:rFonts w:ascii="宋体" w:eastAsia="宋体" w:hAnsi="宋体" w:cs="宋体"/>
                <w:color w:val="000000"/>
                <w:sz w:val="20"/>
                <w:szCs w:val="20"/>
              </w:rPr>
            </w:pPr>
            <w:r>
              <w:rPr>
                <w:rFonts w:hint="eastAsia"/>
                <w:color w:val="000000"/>
                <w:sz w:val="20"/>
                <w:szCs w:val="20"/>
              </w:rPr>
              <w:t>主要系收到税收返还有关的现金增加</w:t>
            </w:r>
          </w:p>
        </w:tc>
      </w:tr>
      <w:tr w:rsidR="007F6EA8" w:rsidTr="007F6EA8">
        <w:trPr>
          <w:divId w:val="1677413730"/>
          <w:trHeight w:val="270"/>
        </w:trPr>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rPr>
                <w:rFonts w:ascii="宋体" w:eastAsia="宋体" w:hAnsi="宋体" w:cs="宋体"/>
                <w:color w:val="000000"/>
                <w:sz w:val="20"/>
                <w:szCs w:val="20"/>
              </w:rPr>
            </w:pPr>
            <w:r>
              <w:rPr>
                <w:rFonts w:hint="eastAsia"/>
                <w:color w:val="000000"/>
                <w:sz w:val="20"/>
                <w:szCs w:val="20"/>
              </w:rPr>
              <w:t> </w:t>
            </w:r>
            <w:r>
              <w:rPr>
                <w:rFonts w:hint="eastAsia"/>
                <w:color w:val="000000"/>
                <w:sz w:val="20"/>
                <w:szCs w:val="20"/>
              </w:rPr>
              <w:t>投资活动产生的现金流量净额</w:t>
            </w:r>
            <w:r>
              <w:rPr>
                <w:rFonts w:hint="eastAsia"/>
                <w:color w:val="000000"/>
                <w:sz w:val="20"/>
                <w:szCs w:val="20"/>
              </w:rPr>
              <w:t> </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jc w:val="right"/>
              <w:rPr>
                <w:rFonts w:ascii="宋体" w:eastAsia="宋体" w:hAnsi="宋体" w:cs="宋体"/>
                <w:color w:val="000000"/>
                <w:sz w:val="20"/>
                <w:szCs w:val="20"/>
              </w:rPr>
            </w:pPr>
            <w:r>
              <w:rPr>
                <w:rFonts w:hint="eastAsia"/>
                <w:color w:val="000000"/>
                <w:sz w:val="20"/>
                <w:szCs w:val="20"/>
              </w:rPr>
              <w:t>-30,463,078.82 </w:t>
            </w:r>
          </w:p>
        </w:tc>
        <w:tc>
          <w:tcPr>
            <w:tcW w:w="13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jc w:val="right"/>
              <w:rPr>
                <w:rFonts w:ascii="宋体" w:eastAsia="宋体" w:hAnsi="宋体" w:cs="宋体"/>
                <w:color w:val="000000"/>
                <w:sz w:val="20"/>
                <w:szCs w:val="20"/>
              </w:rPr>
            </w:pPr>
            <w:r>
              <w:rPr>
                <w:rFonts w:hint="eastAsia"/>
                <w:color w:val="000000"/>
                <w:sz w:val="20"/>
                <w:szCs w:val="20"/>
              </w:rPr>
              <w:t>5,870,619.96 </w:t>
            </w:r>
          </w:p>
        </w:tc>
        <w:tc>
          <w:tcPr>
            <w:tcW w:w="10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jc w:val="right"/>
              <w:rPr>
                <w:rFonts w:ascii="宋体" w:eastAsia="宋体" w:hAnsi="宋体" w:cs="宋体"/>
                <w:color w:val="000000"/>
                <w:sz w:val="20"/>
                <w:szCs w:val="20"/>
              </w:rPr>
            </w:pPr>
            <w:r>
              <w:rPr>
                <w:rFonts w:hint="eastAsia"/>
                <w:color w:val="000000"/>
                <w:sz w:val="20"/>
                <w:szCs w:val="20"/>
              </w:rPr>
              <w:t>-618.91%</w:t>
            </w:r>
          </w:p>
        </w:tc>
        <w:tc>
          <w:tcPr>
            <w:tcW w:w="45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rPr>
                <w:rFonts w:ascii="宋体" w:eastAsia="宋体" w:hAnsi="宋体" w:cs="宋体"/>
                <w:color w:val="000000"/>
                <w:sz w:val="20"/>
                <w:szCs w:val="20"/>
              </w:rPr>
            </w:pPr>
            <w:r>
              <w:rPr>
                <w:rFonts w:hint="eastAsia"/>
                <w:color w:val="000000"/>
                <w:sz w:val="20"/>
                <w:szCs w:val="20"/>
              </w:rPr>
              <w:t>主要系江西处置固定资产、无形资产和其他长期资产所收回的现金净额减少所致</w:t>
            </w:r>
          </w:p>
        </w:tc>
      </w:tr>
      <w:tr w:rsidR="007F6EA8" w:rsidTr="007F6EA8">
        <w:trPr>
          <w:divId w:val="1677413730"/>
          <w:trHeight w:val="270"/>
        </w:trPr>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rPr>
                <w:rFonts w:ascii="宋体" w:eastAsia="宋体" w:hAnsi="宋体" w:cs="宋体"/>
                <w:color w:val="000000"/>
                <w:sz w:val="20"/>
                <w:szCs w:val="20"/>
              </w:rPr>
            </w:pPr>
            <w:r>
              <w:rPr>
                <w:rFonts w:hint="eastAsia"/>
                <w:color w:val="000000"/>
                <w:sz w:val="20"/>
                <w:szCs w:val="20"/>
              </w:rPr>
              <w:t> </w:t>
            </w:r>
            <w:r>
              <w:rPr>
                <w:rFonts w:hint="eastAsia"/>
                <w:color w:val="000000"/>
                <w:sz w:val="20"/>
                <w:szCs w:val="20"/>
              </w:rPr>
              <w:t>汇率变动对现金及现金等价物的影响</w:t>
            </w:r>
            <w:r>
              <w:rPr>
                <w:rFonts w:hint="eastAsia"/>
                <w:color w:val="000000"/>
                <w:sz w:val="20"/>
                <w:szCs w:val="20"/>
              </w:rPr>
              <w:t> </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jc w:val="right"/>
              <w:rPr>
                <w:rFonts w:ascii="宋体" w:eastAsia="宋体" w:hAnsi="宋体" w:cs="宋体"/>
                <w:color w:val="000000"/>
                <w:sz w:val="20"/>
                <w:szCs w:val="20"/>
              </w:rPr>
            </w:pPr>
            <w:r>
              <w:rPr>
                <w:rFonts w:hint="eastAsia"/>
                <w:color w:val="000000"/>
                <w:sz w:val="20"/>
                <w:szCs w:val="20"/>
              </w:rPr>
              <w:t>12,903,918.15 </w:t>
            </w:r>
          </w:p>
        </w:tc>
        <w:tc>
          <w:tcPr>
            <w:tcW w:w="13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jc w:val="right"/>
              <w:rPr>
                <w:rFonts w:ascii="宋体" w:eastAsia="宋体" w:hAnsi="宋体" w:cs="宋体"/>
                <w:color w:val="000000"/>
                <w:sz w:val="20"/>
                <w:szCs w:val="20"/>
              </w:rPr>
            </w:pPr>
            <w:r>
              <w:rPr>
                <w:rFonts w:hint="eastAsia"/>
                <w:color w:val="000000"/>
                <w:sz w:val="20"/>
                <w:szCs w:val="20"/>
              </w:rPr>
              <w:t>212,323.60 </w:t>
            </w:r>
          </w:p>
        </w:tc>
        <w:tc>
          <w:tcPr>
            <w:tcW w:w="10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jc w:val="right"/>
              <w:rPr>
                <w:rFonts w:ascii="宋体" w:eastAsia="宋体" w:hAnsi="宋体" w:cs="宋体"/>
                <w:color w:val="000000"/>
                <w:sz w:val="20"/>
                <w:szCs w:val="20"/>
              </w:rPr>
            </w:pPr>
            <w:r>
              <w:rPr>
                <w:rFonts w:hint="eastAsia"/>
                <w:color w:val="000000"/>
                <w:sz w:val="20"/>
                <w:szCs w:val="20"/>
              </w:rPr>
              <w:t>5977.48%</w:t>
            </w:r>
          </w:p>
        </w:tc>
        <w:tc>
          <w:tcPr>
            <w:tcW w:w="45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F6EA8" w:rsidRDefault="007F6EA8" w:rsidP="007F6EA8">
            <w:pPr>
              <w:rPr>
                <w:rFonts w:ascii="宋体" w:eastAsia="宋体" w:hAnsi="宋体" w:cs="宋体"/>
                <w:color w:val="333333"/>
                <w:sz w:val="20"/>
                <w:szCs w:val="20"/>
              </w:rPr>
            </w:pPr>
            <w:r>
              <w:rPr>
                <w:rFonts w:hint="eastAsia"/>
                <w:color w:val="333333"/>
                <w:sz w:val="20"/>
                <w:szCs w:val="20"/>
              </w:rPr>
              <w:t>主要系人民币汇率变动所致</w:t>
            </w:r>
          </w:p>
        </w:tc>
      </w:tr>
    </w:tbl>
    <w:p w:rsidR="00962DC0" w:rsidRDefault="00962DC0">
      <w:pPr>
        <w:pStyle w:val="a3"/>
        <w:divId w:val="1677413730"/>
        <w:rPr>
          <w:sz w:val="18"/>
          <w:szCs w:val="18"/>
        </w:rPr>
      </w:pPr>
      <w:r>
        <w:rPr>
          <w:rFonts w:hint="eastAsia"/>
          <w:sz w:val="18"/>
          <w:szCs w:val="18"/>
        </w:rPr>
        <w:t> </w:t>
      </w:r>
    </w:p>
    <w:p w:rsidR="00962DC0" w:rsidRPr="007F6EA8" w:rsidRDefault="00962DC0">
      <w:pPr>
        <w:divId w:val="1677413730"/>
        <w:rPr>
          <w:sz w:val="24"/>
          <w:szCs w:val="24"/>
        </w:rPr>
      </w:pPr>
    </w:p>
    <w:p w:rsidR="00962DC0" w:rsidRDefault="00121A29">
      <w:pPr>
        <w:pStyle w:val="headingh1"/>
        <w:spacing w:before="300" w:after="300" w:line="320" w:lineRule="exact"/>
        <w:rPr>
          <w:rFonts w:ascii="宋体" w:eastAsia="宋体" w:hAnsi="宋体" w:cs="宋体"/>
          <w:b/>
          <w:bCs/>
          <w:sz w:val="24"/>
          <w:szCs w:val="24"/>
        </w:rPr>
      </w:pPr>
      <w:bookmarkStart w:id="4" w:name="_Toc988893"/>
      <w:r>
        <w:rPr>
          <w:rFonts w:ascii="宋体" w:eastAsia="宋体" w:hAnsi="宋体" w:cs="宋体"/>
          <w:b/>
          <w:bCs/>
          <w:sz w:val="24"/>
          <w:szCs w:val="24"/>
        </w:rPr>
        <w:t xml:space="preserve">二、股东信息 </w:t>
      </w:r>
      <w:bookmarkEnd w:id="4"/>
    </w:p>
    <w:p w:rsidR="00962DC0" w:rsidRDefault="00121A29">
      <w:pPr>
        <w:pStyle w:val="2"/>
        <w:spacing w:before="300" w:after="300" w:line="280" w:lineRule="exact"/>
        <w:rPr>
          <w:rFonts w:ascii="宋体" w:eastAsia="宋体" w:hAnsi="宋体" w:cs="宋体"/>
          <w:b/>
          <w:bCs/>
        </w:rPr>
      </w:pPr>
      <w:bookmarkStart w:id="5" w:name="_Toc988894"/>
      <w:r>
        <w:rPr>
          <w:rFonts w:ascii="宋体" w:eastAsia="宋体" w:hAnsi="宋体" w:cs="宋体"/>
          <w:b/>
          <w:bCs/>
        </w:rPr>
        <w:t>（一） 普通股股东总数和表决权恢复的优先股股东数量及前十名股东持股情况表</w:t>
      </w:r>
      <w:bookmarkEnd w:id="5"/>
    </w:p>
    <w:p w:rsidR="00962DC0" w:rsidRDefault="00121A29">
      <w:pPr>
        <w:spacing w:before="40" w:after="40" w:line="240" w:lineRule="exact"/>
        <w:jc w:val="right"/>
        <w:rPr>
          <w:rFonts w:ascii="宋体" w:eastAsia="宋体" w:hAnsi="宋体" w:cs="宋体"/>
          <w:sz w:val="18"/>
          <w:szCs w:val="18"/>
        </w:rPr>
      </w:pPr>
      <w:r>
        <w:rPr>
          <w:rFonts w:ascii="宋体" w:eastAsia="宋体" w:hAnsi="宋体" w:cs="宋体"/>
          <w:sz w:val="18"/>
          <w:szCs w:val="18"/>
        </w:rPr>
        <w:t>单位：股</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1377"/>
        <w:gridCol w:w="1377"/>
        <w:gridCol w:w="1377"/>
        <w:gridCol w:w="1377"/>
        <w:gridCol w:w="1377"/>
        <w:gridCol w:w="1377"/>
        <w:gridCol w:w="1377"/>
      </w:tblGrid>
      <w:tr w:rsidR="00962DC0">
        <w:trPr>
          <w:trHeight w:val="240"/>
        </w:trPr>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 xml:space="preserve">报告期末普通股股东总数 </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20,709</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报告期末表决权恢复的优先股股东总数（如有）</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w:t>
            </w:r>
          </w:p>
        </w:tc>
      </w:tr>
      <w:tr w:rsidR="00962DC0">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前10名股东持股情况</w:t>
            </w:r>
          </w:p>
        </w:tc>
      </w:tr>
      <w:tr w:rsidR="00962DC0">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股东名称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股东性质</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持股比例</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持股数量</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持有有限售条件的股份数量</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质押、标记 或冻结情况</w:t>
            </w:r>
          </w:p>
        </w:tc>
      </w:tr>
      <w:tr w:rsidR="00962DC0">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股份状态</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数量</w:t>
            </w:r>
          </w:p>
        </w:tc>
      </w:tr>
      <w:tr w:rsidR="00962DC0">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陈启丰</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18.67%</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51,836,400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38,877,300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质押</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30,012,161</w:t>
            </w:r>
          </w:p>
        </w:tc>
      </w:tr>
      <w:tr w:rsidR="00962DC0">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潮州启龙贸易有限公司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境内非国有法人</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17.68%</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49,106,400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质押</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23,875,609</w:t>
            </w:r>
          </w:p>
        </w:tc>
      </w:tr>
      <w:tr w:rsidR="00962DC0">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陈伟儿</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4.93%</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13,682,115</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10,261,586</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质押</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7,838,891</w:t>
            </w:r>
          </w:p>
        </w:tc>
      </w:tr>
      <w:tr w:rsidR="00962DC0">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陈伟东</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4.52%</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12,562,970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9,422,227</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中国建设银行股份有限公司－华夏能源革</w:t>
            </w:r>
          </w:p>
          <w:p w:rsidR="00962DC0" w:rsidRDefault="00121A29">
            <w:pPr>
              <w:spacing w:line="240" w:lineRule="exact"/>
              <w:rPr>
                <w:rFonts w:ascii="宋体" w:eastAsia="宋体" w:hAnsi="宋体" w:cs="宋体"/>
                <w:sz w:val="18"/>
                <w:szCs w:val="18"/>
              </w:rPr>
            </w:pPr>
            <w:r>
              <w:rPr>
                <w:rFonts w:ascii="宋体" w:eastAsia="宋体" w:hAnsi="宋体" w:cs="宋体"/>
                <w:sz w:val="18"/>
                <w:szCs w:val="18"/>
              </w:rPr>
              <w:lastRenderedPageBreak/>
              <w:t>新股票型证券投资基金</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lastRenderedPageBreak/>
              <w:t>境内非国有法人</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1.97%</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5,477,320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lastRenderedPageBreak/>
              <w:t>方士雄</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1.44%</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4,000,000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潮州市永宣陶瓷科技有限公司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境内非国有法人</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1.12%</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3,113,980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梁楠</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0.86%</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2,390,000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上海汐泰投资管理有限公司－汐泰东升1号私募证券投资基金</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境内非国有法人</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0.74%</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2,043,500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佘周鹏</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0.73%</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2,015,300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前10名无限售条件股东持股情况</w:t>
            </w:r>
          </w:p>
        </w:tc>
      </w:tr>
      <w:tr w:rsidR="00962DC0">
        <w:trPr>
          <w:trHeight w:val="240"/>
        </w:trPr>
        <w:tc>
          <w:tcPr>
            <w:tcW w:w="2754"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股东名称</w:t>
            </w:r>
          </w:p>
        </w:tc>
        <w:tc>
          <w:tcPr>
            <w:tcW w:w="4131" w:type="dxa"/>
            <w:gridSpan w:val="3"/>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持有无限售条件股份数量</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股份种类</w:t>
            </w:r>
          </w:p>
        </w:tc>
      </w:tr>
      <w:tr w:rsidR="00962DC0">
        <w:trPr>
          <w:trHeight w:val="240"/>
        </w:trPr>
        <w:tc>
          <w:tcPr>
            <w:tcW w:w="2754"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4131" w:type="dxa"/>
            <w:gridSpan w:val="3"/>
            <w:vMerge/>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股份种类</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数量</w:t>
            </w:r>
          </w:p>
        </w:tc>
      </w:tr>
      <w:tr w:rsidR="00962DC0">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潮州启龙贸易有限公司</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49,106,400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49,106,400</w:t>
            </w:r>
          </w:p>
        </w:tc>
      </w:tr>
      <w:tr w:rsidR="00962DC0">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陈启丰</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12,959,100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12,959,100</w:t>
            </w:r>
          </w:p>
        </w:tc>
      </w:tr>
      <w:tr w:rsidR="00962DC0">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中国建设银行股份有限公司－华夏能源革新股票型证券投资基金</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5,477,320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5,477,320</w:t>
            </w:r>
          </w:p>
        </w:tc>
      </w:tr>
      <w:tr w:rsidR="00962DC0">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方士雄</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4,000,000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4,000,000</w:t>
            </w:r>
          </w:p>
        </w:tc>
      </w:tr>
      <w:tr w:rsidR="00962DC0">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陈伟儿</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3,420,529</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3,420,529</w:t>
            </w:r>
          </w:p>
        </w:tc>
      </w:tr>
      <w:tr w:rsidR="00962DC0">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陈伟东</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3,140,743</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3,140,743</w:t>
            </w:r>
          </w:p>
        </w:tc>
      </w:tr>
      <w:tr w:rsidR="00962DC0">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潮州市永宣陶瓷科技有限公司</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3,113,980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3,113,980</w:t>
            </w:r>
          </w:p>
        </w:tc>
      </w:tr>
      <w:tr w:rsidR="00962DC0">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梁楠</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2,390,000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2,390,000</w:t>
            </w:r>
          </w:p>
        </w:tc>
      </w:tr>
      <w:tr w:rsidR="00962DC0">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上海汐泰投资管理有限公司－汐泰东升1号私募证券投资基金</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2,043,500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2,043,500</w:t>
            </w:r>
          </w:p>
        </w:tc>
      </w:tr>
      <w:tr w:rsidR="00962DC0">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佘周鹏</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2,015,300</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2,015,300</w:t>
            </w:r>
          </w:p>
        </w:tc>
      </w:tr>
      <w:tr w:rsidR="00962DC0">
        <w:trPr>
          <w:trHeight w:val="240"/>
        </w:trPr>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上述股东关联关系或一致行动的说明</w:t>
            </w:r>
          </w:p>
        </w:tc>
        <w:tc>
          <w:tcPr>
            <w:tcW w:w="5508" w:type="dxa"/>
            <w:gridSpan w:val="4"/>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在上述股东中，陈启丰、陈伟东、陈伟儿及陈启丰际控制的启龙有限为一致行动人关系，陈伟东、陈伟儿系陈启丰子女。除此之外，未知前10名无限售条件普通股股东之间，以及前10名无限售条件普通股股东和前10名普通股股东之间是否存在关联关系或一致行动关系。</w:t>
            </w:r>
          </w:p>
        </w:tc>
      </w:tr>
      <w:tr w:rsidR="00962DC0">
        <w:trPr>
          <w:trHeight w:val="240"/>
        </w:trPr>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前10名股东参与融资融券业务情况说明（如有）</w:t>
            </w:r>
          </w:p>
        </w:tc>
        <w:tc>
          <w:tcPr>
            <w:tcW w:w="5508" w:type="dxa"/>
            <w:gridSpan w:val="4"/>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上海汐泰投资管理有限公司－汐泰东升1号私募证券投资基金通过长江证券股份有限公司客户信用交易担保证券账户持有2,043,500股，合计2,043,500股。</w:t>
            </w:r>
          </w:p>
        </w:tc>
      </w:tr>
    </w:tbl>
    <w:p w:rsidR="00962DC0" w:rsidRDefault="00121A29">
      <w:pPr>
        <w:pStyle w:val="2"/>
        <w:spacing w:before="300" w:after="300" w:line="280" w:lineRule="exact"/>
        <w:rPr>
          <w:rFonts w:ascii="宋体" w:eastAsia="宋体" w:hAnsi="宋体" w:cs="宋体"/>
          <w:b/>
          <w:bCs/>
        </w:rPr>
      </w:pPr>
      <w:bookmarkStart w:id="6" w:name="_Toc988895"/>
      <w:r>
        <w:rPr>
          <w:rFonts w:ascii="宋体" w:eastAsia="宋体" w:hAnsi="宋体" w:cs="宋体"/>
          <w:b/>
          <w:bCs/>
        </w:rPr>
        <w:t>（二） 公司优先股股东总数及前10名优先股股东持股情况表</w:t>
      </w:r>
      <w:bookmarkEnd w:id="6"/>
    </w:p>
    <w:p w:rsidR="00962DC0" w:rsidRDefault="00121A29">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962DC0" w:rsidRDefault="00121A29">
      <w:pPr>
        <w:pStyle w:val="headingh1"/>
        <w:spacing w:before="300" w:after="300" w:line="320" w:lineRule="exact"/>
        <w:rPr>
          <w:rFonts w:ascii="宋体" w:eastAsia="宋体" w:hAnsi="宋体" w:cs="宋体"/>
          <w:b/>
          <w:bCs/>
          <w:sz w:val="24"/>
          <w:szCs w:val="24"/>
        </w:rPr>
      </w:pPr>
      <w:bookmarkStart w:id="7" w:name="_Toc988896"/>
      <w:r>
        <w:rPr>
          <w:rFonts w:ascii="宋体" w:eastAsia="宋体" w:hAnsi="宋体" w:cs="宋体"/>
          <w:b/>
          <w:bCs/>
          <w:sz w:val="24"/>
          <w:szCs w:val="24"/>
        </w:rPr>
        <w:t>三、其他重要事项</w:t>
      </w:r>
      <w:bookmarkEnd w:id="7"/>
    </w:p>
    <w:p w:rsidR="00962DC0" w:rsidRDefault="00121A29">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962DC0" w:rsidRDefault="00121A29">
      <w:pPr>
        <w:pStyle w:val="headingh1"/>
        <w:spacing w:before="300" w:after="300" w:line="320" w:lineRule="exact"/>
        <w:rPr>
          <w:rFonts w:ascii="宋体" w:eastAsia="宋体" w:hAnsi="宋体" w:cs="宋体"/>
          <w:b/>
          <w:bCs/>
          <w:sz w:val="24"/>
          <w:szCs w:val="24"/>
        </w:rPr>
      </w:pPr>
      <w:bookmarkStart w:id="8" w:name="_Toc988897"/>
      <w:r>
        <w:rPr>
          <w:rFonts w:ascii="宋体" w:eastAsia="宋体" w:hAnsi="宋体" w:cs="宋体"/>
          <w:b/>
          <w:bCs/>
          <w:sz w:val="24"/>
          <w:szCs w:val="24"/>
        </w:rPr>
        <w:t>四、季度财务报表</w:t>
      </w:r>
      <w:bookmarkEnd w:id="8"/>
    </w:p>
    <w:p w:rsidR="00962DC0" w:rsidRDefault="00121A29">
      <w:pPr>
        <w:pStyle w:val="2"/>
        <w:spacing w:before="300" w:after="300" w:line="280" w:lineRule="exact"/>
        <w:rPr>
          <w:rFonts w:ascii="宋体" w:eastAsia="宋体" w:hAnsi="宋体" w:cs="宋体"/>
          <w:b/>
          <w:bCs/>
        </w:rPr>
      </w:pPr>
      <w:bookmarkStart w:id="9" w:name="_Toc988898"/>
      <w:r>
        <w:rPr>
          <w:rFonts w:ascii="宋体" w:eastAsia="宋体" w:hAnsi="宋体" w:cs="宋体"/>
          <w:b/>
          <w:bCs/>
        </w:rPr>
        <w:t>（一） 财务报表</w:t>
      </w:r>
      <w:bookmarkEnd w:id="9"/>
    </w:p>
    <w:p w:rsidR="00962DC0" w:rsidRDefault="00121A29">
      <w:pPr>
        <w:pStyle w:val="3"/>
        <w:spacing w:line="280" w:lineRule="exact"/>
        <w:jc w:val="left"/>
        <w:rPr>
          <w:rFonts w:ascii="宋体" w:hAnsi="宋体" w:cs="宋体"/>
          <w:b/>
          <w:bCs/>
        </w:rPr>
      </w:pPr>
      <w:bookmarkStart w:id="10" w:name="_Toc988899"/>
      <w:r>
        <w:rPr>
          <w:rFonts w:ascii="宋体" w:hAnsi="宋体" w:cs="宋体"/>
          <w:b/>
          <w:bCs/>
        </w:rPr>
        <w:t>1、合并资产负债表</w:t>
      </w:r>
      <w:bookmarkEnd w:id="10"/>
    </w:p>
    <w:p w:rsidR="00962DC0" w:rsidRDefault="00121A29">
      <w:pPr>
        <w:spacing w:line="240" w:lineRule="exact"/>
        <w:rPr>
          <w:rFonts w:ascii="宋体" w:eastAsia="宋体" w:hAnsi="宋体" w:cs="宋体"/>
          <w:sz w:val="18"/>
          <w:szCs w:val="18"/>
        </w:rPr>
      </w:pPr>
      <w:r>
        <w:rPr>
          <w:rFonts w:ascii="宋体" w:eastAsia="宋体" w:hAnsi="宋体" w:cs="宋体"/>
          <w:sz w:val="18"/>
          <w:szCs w:val="18"/>
        </w:rPr>
        <w:t>编制单位：广东翔鹭钨业股份有限公司</w:t>
      </w:r>
    </w:p>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2022年09月30日</w:t>
      </w:r>
    </w:p>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3213"/>
        <w:gridCol w:w="3213"/>
        <w:gridCol w:w="3213"/>
      </w:tblGrid>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lastRenderedPageBreak/>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2022年9月30日</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2022年1月1日</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213,720,578.18</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243,712,701.57</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结算备付金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拆出资金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504,264.00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应收账款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271,630,356.06</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193,849,372.89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107,030,780.41</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123,947,738.42</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23,425,550.97</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15,845,716.48</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应收保费</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应收分保合同准备金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7,925,461.03</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8,006,143.46</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买入返售金融资产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785,646,234.15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767,704,893.98</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20,131,032.50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76,965,042.79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1,429,509,993.30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1,430,535,873.59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发放贷款和垫款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13,763,490.85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13,763,490.85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726,166,706.33</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721,433,903.07</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27,280,575.04</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55,410,143.45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686,502.13</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113,951,675.54</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115,999,999.51</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46,901,079.20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46,901,079.20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15,016,615.27</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18,183,803.03</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15,688,550.05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10,000,579.19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16,860,752.72</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12,371,197.82</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975,629,445.00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994,750,698.25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2,405,139,438.30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2,425,286,571.84</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418,643,086.39</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386,292,836.39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拆入资金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453,650.00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367,947,735.96</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378,917,235.98</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49,168,930.78</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67,544,322.25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合同负债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3,176,609.48</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6,302,744.57</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卖出回购金融资产款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吸收存款及同业存放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代理承销证券款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1,889,126.53</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3,186,357.55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应交税费</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8,109,823.44</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1,932,493.93</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25,668,845.12</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26,021,174.83</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应付手续费及佣金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82,180,000.00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40,486,502.13</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1,378,602.56</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2,814,219.72</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958,616,410.26</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913,497,887.35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保险合同准备金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149,920,000.00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227,400,000.00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277,616,310.35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265,001,933.79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2,600,000.00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10,151,620.87</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6,705,037.22</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104,436.48</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357,426.11</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440,392,367.70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499,464,397.12</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1,399,008,777.96</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1,412,962,284.47</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277,673,597.00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277,671,652.00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65,675,731.30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65,682,092.34</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230,450,765.69</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222,338,577.93</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25,171,300.00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25,171,300.00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23,322,190.15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31,918,879.60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52,564,222.25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52,564,222.25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一般风险准备</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381,615,453.95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387,320,163.25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归属于母公司所有者权益合计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1,006,130,660.34</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1,012,324,287.37</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少数股东权益</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1,006,130,660.34</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1,012,324,287.37</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2,405,139,438.30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2,425,286,571.84</w:t>
            </w:r>
          </w:p>
        </w:tc>
      </w:tr>
    </w:tbl>
    <w:p w:rsidR="00962DC0" w:rsidRDefault="00121A29">
      <w:pPr>
        <w:spacing w:line="240" w:lineRule="exact"/>
        <w:rPr>
          <w:rFonts w:ascii="宋体" w:eastAsia="宋体" w:hAnsi="宋体" w:cs="宋体"/>
          <w:sz w:val="18"/>
          <w:szCs w:val="18"/>
        </w:rPr>
      </w:pPr>
      <w:r>
        <w:rPr>
          <w:rFonts w:ascii="宋体" w:eastAsia="宋体" w:hAnsi="宋体" w:cs="宋体"/>
          <w:sz w:val="18"/>
          <w:szCs w:val="18"/>
        </w:rPr>
        <w:t>法定代表人：陈启丰    主管会计工作负责人：郑丽芳      会计机构负责人：陈东洁</w:t>
      </w:r>
    </w:p>
    <w:p w:rsidR="00962DC0" w:rsidRDefault="00121A29">
      <w:pPr>
        <w:pStyle w:val="3"/>
        <w:spacing w:line="280" w:lineRule="exact"/>
        <w:jc w:val="left"/>
        <w:rPr>
          <w:rFonts w:ascii="宋体" w:hAnsi="宋体" w:cs="宋体"/>
          <w:b/>
          <w:bCs/>
        </w:rPr>
      </w:pPr>
      <w:bookmarkStart w:id="11" w:name="_Toc988900"/>
      <w:r>
        <w:rPr>
          <w:rFonts w:ascii="宋体" w:hAnsi="宋体" w:cs="宋体"/>
          <w:b/>
          <w:bCs/>
        </w:rPr>
        <w:t>2、合并年初到报告期末利润表</w:t>
      </w:r>
      <w:bookmarkEnd w:id="11"/>
    </w:p>
    <w:p w:rsidR="00962DC0" w:rsidRDefault="00121A2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3213"/>
        <w:gridCol w:w="3213"/>
        <w:gridCol w:w="3213"/>
      </w:tblGrid>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一、营业总收入</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1,284,101,468.04</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1,132,596,637.75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其中：营业收入</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1,284,101,468.04</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1,132,596,637.75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400" w:firstLine="72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400" w:firstLine="720"/>
              <w:rPr>
                <w:rFonts w:ascii="宋体" w:eastAsia="宋体" w:hAnsi="宋体" w:cs="宋体"/>
                <w:sz w:val="18"/>
                <w:szCs w:val="18"/>
              </w:rPr>
            </w:pPr>
            <w:r>
              <w:rPr>
                <w:rFonts w:ascii="宋体" w:eastAsia="宋体" w:hAnsi="宋体" w:cs="宋体"/>
                <w:sz w:val="18"/>
                <w:szCs w:val="18"/>
              </w:rPr>
              <w:t>已赚保费</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400" w:firstLine="720"/>
              <w:rPr>
                <w:rFonts w:ascii="宋体" w:eastAsia="宋体" w:hAnsi="宋体" w:cs="宋体"/>
                <w:sz w:val="18"/>
                <w:szCs w:val="18"/>
              </w:rPr>
            </w:pPr>
            <w:r>
              <w:rPr>
                <w:rFonts w:ascii="宋体" w:eastAsia="宋体" w:hAnsi="宋体" w:cs="宋体"/>
                <w:sz w:val="18"/>
                <w:szCs w:val="18"/>
              </w:rPr>
              <w:lastRenderedPageBreak/>
              <w:t>手续费及佣金收入</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rPr>
                <w:rFonts w:ascii="宋体" w:eastAsia="宋体" w:hAnsi="宋体" w:cs="宋体"/>
                <w:sz w:val="18"/>
                <w:szCs w:val="18"/>
              </w:rPr>
            </w:pPr>
            <w:r>
              <w:rPr>
                <w:rFonts w:ascii="宋体" w:eastAsia="宋体" w:hAnsi="宋体" w:cs="宋体"/>
                <w:sz w:val="18"/>
                <w:szCs w:val="18"/>
              </w:rPr>
              <w:t>二、营业总成本</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1,272,520,677.37</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1,090,327,744.31</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其中：营业成本</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1,142,592,595.33</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971,271,099.54</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手续费及佣金支出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退保金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赔付支出净额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提取保险责任准备金净额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保单红利支出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分保费用</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400" w:firstLine="720"/>
              <w:rPr>
                <w:rFonts w:ascii="宋体" w:eastAsia="宋体" w:hAnsi="宋体" w:cs="宋体"/>
                <w:sz w:val="18"/>
                <w:szCs w:val="18"/>
              </w:rPr>
            </w:pPr>
            <w:r>
              <w:rPr>
                <w:rFonts w:ascii="宋体" w:eastAsia="宋体" w:hAnsi="宋体" w:cs="宋体"/>
                <w:sz w:val="18"/>
                <w:szCs w:val="18"/>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3,662,592.81</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2,279,629.52</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5,615,514.63</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3,570,728.39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管理费用</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53,572,916.85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36,018,642.23</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45,833,366.46</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47,507,569.75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财务费用</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21,243,691.29</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29,680,074.88</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36,183,808.50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34,203,163.68</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6,437,697.83</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4,676,847.93</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6,767,676.49</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3,480,931.53</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投资收益（损失以“－”号填列）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1,057,172.66</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以摊余成本计量的金融资产终止确认收益</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汇兑收益（损失以“-”号填列）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净敞口套期收益（损失以“－”号填列）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公允价值变动收益（损失以“－”号填列）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-957,914.00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信用减值损失（损失以“-”号填列）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-620,060.95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978,308.77</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资产减值损失（损失以“-”号填列）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-2,115,017.40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-3,865,702.61</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资产处置收益（损失以“-”号填列）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-642,621.31</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三、营业利润（亏损以“－”号填列）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15,712,647.47</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42,219,809.82</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1,300.00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8,996.84</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513,612.17</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931,365.24</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四、利润总额（亏损总额以“－”号填列）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15,200,335.30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41,297,441.42</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-6,839,968.95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1,124,231.14</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五、净利润（净亏损以“－”号填列）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22,040,304.25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40,173,210.28</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（一）按经营持续性分类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200" w:firstLine="360"/>
              <w:rPr>
                <w:rFonts w:ascii="宋体" w:eastAsia="宋体" w:hAnsi="宋体" w:cs="宋体"/>
                <w:sz w:val="18"/>
                <w:szCs w:val="18"/>
              </w:rPr>
            </w:pPr>
            <w:r>
              <w:rPr>
                <w:rFonts w:ascii="宋体" w:eastAsia="宋体" w:hAnsi="宋体" w:cs="宋体"/>
                <w:sz w:val="18"/>
                <w:szCs w:val="18"/>
              </w:rPr>
              <w:t>1.持续经营净利润（净亏损以“－”号填列）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22,040,304.25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40,173,210.28</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200" w:firstLine="360"/>
              <w:rPr>
                <w:rFonts w:ascii="宋体" w:eastAsia="宋体" w:hAnsi="宋体" w:cs="宋体"/>
                <w:sz w:val="18"/>
                <w:szCs w:val="18"/>
              </w:rPr>
            </w:pPr>
            <w:r>
              <w:rPr>
                <w:rFonts w:ascii="宋体" w:eastAsia="宋体" w:hAnsi="宋体" w:cs="宋体"/>
                <w:sz w:val="18"/>
                <w:szCs w:val="18"/>
              </w:rPr>
              <w:t>2.终止经营净利润（净亏损以</w:t>
            </w:r>
            <w:r>
              <w:rPr>
                <w:rFonts w:ascii="宋体" w:eastAsia="宋体" w:hAnsi="宋体" w:cs="宋体"/>
                <w:sz w:val="18"/>
                <w:szCs w:val="18"/>
              </w:rPr>
              <w:lastRenderedPageBreak/>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（二）按所有权归属分类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200" w:firstLine="360"/>
              <w:rPr>
                <w:rFonts w:ascii="宋体" w:eastAsia="宋体" w:hAnsi="宋体" w:cs="宋体"/>
                <w:sz w:val="18"/>
                <w:szCs w:val="18"/>
              </w:rPr>
            </w:pPr>
            <w:r>
              <w:rPr>
                <w:rFonts w:ascii="宋体" w:eastAsia="宋体" w:hAnsi="宋体" w:cs="宋体"/>
                <w:sz w:val="18"/>
                <w:szCs w:val="18"/>
              </w:rPr>
              <w:t>1.归属于母公司股东的净利润（净亏损以“-”号填列）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22,040,304.25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40,173,210.28</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200" w:firstLine="360"/>
              <w:rPr>
                <w:rFonts w:ascii="宋体" w:eastAsia="宋体" w:hAnsi="宋体" w:cs="宋体"/>
                <w:sz w:val="18"/>
                <w:szCs w:val="18"/>
              </w:rPr>
            </w:pPr>
            <w:r>
              <w:rPr>
                <w:rFonts w:ascii="宋体" w:eastAsia="宋体" w:hAnsi="宋体" w:cs="宋体"/>
                <w:sz w:val="18"/>
                <w:szCs w:val="18"/>
              </w:rPr>
              <w:t>2.少数股东损益（净亏损以“-”号填列）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六、其他综合收益的税后净额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归属母公司所有者的其他综合收益的税后净额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1.重新计量设定受益计划变动额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2.权益法下不能转损益的其他综合收益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3.其他权益工具投资公允价值变动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4.企业自身信用风险公允价值变动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5.其他</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1.权益法下可转损益的其他综合收益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2.其他债权投资公允价值变动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3.金融资产重分类计入其他综合收益的金额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4.其他债权投资信用减值准备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5.现金流量套期储备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6.外币财务报表折算差额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300" w:firstLine="540"/>
              <w:rPr>
                <w:rFonts w:ascii="宋体" w:eastAsia="宋体" w:hAnsi="宋体" w:cs="宋体"/>
                <w:sz w:val="18"/>
                <w:szCs w:val="18"/>
              </w:rPr>
            </w:pPr>
            <w:r>
              <w:rPr>
                <w:rFonts w:ascii="宋体" w:eastAsia="宋体" w:hAnsi="宋体" w:cs="宋体"/>
                <w:sz w:val="18"/>
                <w:szCs w:val="18"/>
              </w:rPr>
              <w:t>7.其他</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归属于少数股东的其他综合收益的税后净额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七、综合收益总额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22,040,304.25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40,173,210.28</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（一）归属于母公司所有者的综合收益总额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22,040,304.25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40,173,210.28</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（二）归属于少数股东的综合收益总额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八、每股收益：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0.08</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0.15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0.08</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0.15</w:t>
            </w:r>
          </w:p>
        </w:tc>
      </w:tr>
    </w:tbl>
    <w:p w:rsidR="00962DC0" w:rsidRDefault="00121A29">
      <w:pPr>
        <w:spacing w:line="240" w:lineRule="exact"/>
        <w:rPr>
          <w:rFonts w:ascii="宋体" w:eastAsia="宋体" w:hAnsi="宋体" w:cs="宋体"/>
          <w:sz w:val="18"/>
          <w:szCs w:val="18"/>
        </w:rPr>
      </w:pPr>
      <w:r>
        <w:rPr>
          <w:rFonts w:ascii="宋体" w:eastAsia="宋体" w:hAnsi="宋体" w:cs="宋体"/>
          <w:sz w:val="18"/>
          <w:szCs w:val="18"/>
        </w:rPr>
        <w:t>本期发生同一控制下企业合并的，被合并方在合并前实现的净利润为：元，上期被合并方实现的净利润为：元。</w:t>
      </w:r>
    </w:p>
    <w:p w:rsidR="00962DC0" w:rsidRDefault="00121A29">
      <w:pPr>
        <w:spacing w:line="240" w:lineRule="exact"/>
        <w:rPr>
          <w:rFonts w:ascii="宋体" w:eastAsia="宋体" w:hAnsi="宋体" w:cs="宋体"/>
          <w:sz w:val="18"/>
          <w:szCs w:val="18"/>
        </w:rPr>
      </w:pPr>
      <w:r>
        <w:rPr>
          <w:rFonts w:ascii="宋体" w:eastAsia="宋体" w:hAnsi="宋体" w:cs="宋体"/>
          <w:sz w:val="18"/>
          <w:szCs w:val="18"/>
        </w:rPr>
        <w:t>法定代表人：陈启丰    主管会计工作负责人：郑丽芳    会计机构负责人：陈东洁</w:t>
      </w:r>
    </w:p>
    <w:p w:rsidR="00962DC0" w:rsidRDefault="00121A29">
      <w:pPr>
        <w:pStyle w:val="3"/>
        <w:spacing w:line="280" w:lineRule="exact"/>
        <w:jc w:val="left"/>
        <w:rPr>
          <w:rFonts w:ascii="宋体" w:hAnsi="宋体" w:cs="宋体"/>
          <w:b/>
          <w:bCs/>
        </w:rPr>
      </w:pPr>
      <w:bookmarkStart w:id="12" w:name="_Toc988901"/>
      <w:r>
        <w:rPr>
          <w:rFonts w:ascii="宋体" w:hAnsi="宋体" w:cs="宋体"/>
          <w:b/>
          <w:bCs/>
        </w:rPr>
        <w:t>3、合并年初到报告期末现金流量表</w:t>
      </w:r>
      <w:bookmarkEnd w:id="12"/>
    </w:p>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3213"/>
        <w:gridCol w:w="3213"/>
        <w:gridCol w:w="3213"/>
      </w:tblGrid>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1,089,996,320.27</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997,593,051.30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客户存款和同业存放款项净增加额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向其他金融机构拆入资金净增加额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收到原保险合同保费取得的现金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收到再保业务现金净额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保户储金及投资款净增加额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收取利息、手续费及佣金的现金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回购业务资金净增加额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66,472,127.86</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4,044,511.49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170,997,781.93</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137,967,740.64</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1,327,466,230.06</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1,139,605,303.43</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1,023,136,388.90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923,555,885.68</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客户贷款及垫款净增加额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存放中央银行和同业款项净增加额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支付原保险合同赔付款项的现金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拆出资金净增加额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支付保单红利的现金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支付给职工及为职工支付的现金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61,203,052.79</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58,770,723.09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11,312,945.43</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12,297,946.40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187,306,003.33</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135,116,197.43</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1,282,958,390.45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1,129,740,752.60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44,507,839.61</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9,864,550.83</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1,651,282.94</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853,015.84</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41,600.00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68,814,169.19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118,403,804.02</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1,692,882.94</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188,070,989.05</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购建固定资产、无形资产和其他长期资产支付的现金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32,155,961.76</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50,000,369.09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质押贷款净增加额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132,200,000.00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32,155,961.76</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182,200,369.09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-30,463,078.82</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5,870,619.96</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962DC0"/>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其中：子公司吸收少数股东投资收到的现金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422,430,000.00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738,406,750.00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2,600,000.00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425,030,000.00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738,406,750.00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425,100,000.00</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764,006,750.00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53,807,840.03</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29,493,094.32</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其中：子公司支付给少数股东的股利、利润</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962DC0">
            <w:pPr>
              <w:spacing w:line="240" w:lineRule="exact"/>
              <w:jc w:val="right"/>
              <w:rPr>
                <w:rFonts w:ascii="宋体" w:eastAsia="宋体" w:hAnsi="宋体" w:cs="宋体"/>
                <w:sz w:val="18"/>
                <w:szCs w:val="18"/>
              </w:rPr>
            </w:pP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14,666.65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6,118,947.79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478,922,506.68</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799,618,792.11</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-53,892,506.68</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-61,212,042.11</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lastRenderedPageBreak/>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12,903,918.15</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212,323.60</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-26,943,827.74</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-45,264,547.72</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ind w:firstLineChars="100" w:firstLine="180"/>
              <w:rPr>
                <w:rFonts w:ascii="宋体" w:eastAsia="宋体" w:hAnsi="宋体" w:cs="宋体"/>
                <w:sz w:val="18"/>
                <w:szCs w:val="18"/>
              </w:rPr>
            </w:pPr>
            <w:r>
              <w:rPr>
                <w:rFonts w:ascii="宋体" w:eastAsia="宋体" w:hAnsi="宋体" w:cs="宋体"/>
                <w:sz w:val="18"/>
                <w:szCs w:val="18"/>
              </w:rPr>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134,323,936.11</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123,633,768.79</w:t>
            </w:r>
          </w:p>
        </w:tc>
      </w:tr>
      <w:tr w:rsidR="00962DC0">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962DC0" w:rsidRDefault="00121A29">
            <w:pPr>
              <w:spacing w:line="240" w:lineRule="exact"/>
              <w:rPr>
                <w:rFonts w:ascii="宋体" w:eastAsia="宋体" w:hAnsi="宋体" w:cs="宋体"/>
                <w:sz w:val="18"/>
                <w:szCs w:val="18"/>
              </w:rPr>
            </w:pPr>
            <w:r>
              <w:rPr>
                <w:rFonts w:ascii="宋体" w:eastAsia="宋体" w:hAnsi="宋体" w:cs="宋体"/>
                <w:sz w:val="18"/>
                <w:szCs w:val="18"/>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107,380,108.37</w:t>
            </w:r>
          </w:p>
        </w:tc>
        <w:tc>
          <w:tcPr>
            <w:tcW w:w="3213" w:type="dxa"/>
            <w:tcBorders>
              <w:top w:val="single" w:sz="2" w:space="0" w:color="auto"/>
              <w:left w:val="single" w:sz="2" w:space="0" w:color="auto"/>
              <w:bottom w:val="single" w:sz="2" w:space="0" w:color="auto"/>
              <w:right w:val="single" w:sz="2" w:space="0" w:color="auto"/>
            </w:tcBorders>
            <w:vAlign w:val="center"/>
          </w:tcPr>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78,369,221.07</w:t>
            </w:r>
          </w:p>
        </w:tc>
      </w:tr>
    </w:tbl>
    <w:p w:rsidR="00962DC0" w:rsidRDefault="00121A29">
      <w:pPr>
        <w:pStyle w:val="2"/>
        <w:spacing w:before="300" w:after="300" w:line="280" w:lineRule="exact"/>
        <w:rPr>
          <w:rFonts w:ascii="宋体" w:eastAsia="宋体" w:hAnsi="宋体" w:cs="宋体"/>
          <w:b/>
          <w:bCs/>
          <w:sz w:val="25"/>
          <w:szCs w:val="25"/>
        </w:rPr>
      </w:pPr>
      <w:bookmarkStart w:id="13" w:name="_Toc988902"/>
      <w:r>
        <w:rPr>
          <w:rFonts w:ascii="宋体" w:eastAsia="宋体" w:hAnsi="宋体" w:cs="宋体"/>
          <w:b/>
          <w:bCs/>
          <w:sz w:val="25"/>
          <w:szCs w:val="25"/>
        </w:rPr>
        <w:t>（二） 审计报告</w:t>
      </w:r>
      <w:bookmarkEnd w:id="13"/>
    </w:p>
    <w:p w:rsidR="00962DC0" w:rsidRDefault="00121A29">
      <w:pPr>
        <w:spacing w:before="40" w:after="40" w:line="240" w:lineRule="exact"/>
        <w:rPr>
          <w:rFonts w:ascii="宋体" w:eastAsia="宋体" w:hAnsi="宋体" w:cs="宋体"/>
          <w:sz w:val="18"/>
          <w:szCs w:val="18"/>
        </w:rPr>
      </w:pPr>
      <w:r>
        <w:rPr>
          <w:rFonts w:ascii="宋体" w:eastAsia="宋体" w:hAnsi="宋体" w:cs="宋体"/>
          <w:sz w:val="18"/>
          <w:szCs w:val="18"/>
        </w:rPr>
        <w:t>第三季度报告是否经过审计</w:t>
      </w:r>
    </w:p>
    <w:p w:rsidR="00962DC0" w:rsidRDefault="00121A29">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962DC0" w:rsidRDefault="00121A29">
      <w:pPr>
        <w:spacing w:before="40" w:after="40" w:line="240" w:lineRule="exact"/>
        <w:rPr>
          <w:rFonts w:ascii="宋体" w:eastAsia="宋体" w:hAnsi="宋体" w:cs="宋体"/>
          <w:sz w:val="18"/>
          <w:szCs w:val="18"/>
        </w:rPr>
      </w:pPr>
      <w:r>
        <w:rPr>
          <w:rFonts w:ascii="宋体" w:eastAsia="宋体" w:hAnsi="宋体" w:cs="宋体"/>
          <w:sz w:val="18"/>
          <w:szCs w:val="18"/>
        </w:rPr>
        <w:t>公司第三季度报告未经审计。</w:t>
      </w:r>
    </w:p>
    <w:p w:rsidR="00962DC0" w:rsidRDefault="00121A29">
      <w:pPr>
        <w:spacing w:before="40" w:after="40" w:line="240" w:lineRule="exact"/>
        <w:jc w:val="right"/>
        <w:rPr>
          <w:rFonts w:ascii="宋体" w:eastAsia="宋体" w:hAnsi="宋体" w:cs="宋体"/>
          <w:sz w:val="18"/>
          <w:szCs w:val="18"/>
        </w:rPr>
      </w:pPr>
      <w:r>
        <w:rPr>
          <w:rFonts w:ascii="宋体" w:eastAsia="宋体" w:hAnsi="宋体" w:cs="宋体"/>
          <w:sz w:val="18"/>
          <w:szCs w:val="18"/>
        </w:rPr>
        <w:t>广东翔鹭钨业股份有限公司董事会</w:t>
      </w:r>
    </w:p>
    <w:p w:rsidR="00962DC0" w:rsidRDefault="00121A29">
      <w:pPr>
        <w:spacing w:line="240" w:lineRule="exact"/>
        <w:jc w:val="right"/>
        <w:rPr>
          <w:rFonts w:ascii="宋体" w:eastAsia="宋体" w:hAnsi="宋体" w:cs="宋体"/>
          <w:sz w:val="18"/>
          <w:szCs w:val="18"/>
        </w:rPr>
      </w:pPr>
      <w:r>
        <w:rPr>
          <w:rFonts w:ascii="宋体" w:eastAsia="宋体" w:hAnsi="宋体" w:cs="宋体"/>
          <w:sz w:val="18"/>
          <w:szCs w:val="18"/>
        </w:rPr>
        <w:t>2022年</w:t>
      </w:r>
      <w:r w:rsidR="007F6EA8">
        <w:rPr>
          <w:rFonts w:ascii="宋体" w:eastAsia="宋体" w:hAnsi="宋体" w:cs="宋体" w:hint="eastAsia"/>
          <w:sz w:val="18"/>
          <w:szCs w:val="18"/>
        </w:rPr>
        <w:t>10</w:t>
      </w:r>
      <w:r>
        <w:rPr>
          <w:rFonts w:ascii="宋体" w:eastAsia="宋体" w:hAnsi="宋体" w:cs="宋体"/>
          <w:sz w:val="18"/>
          <w:szCs w:val="18"/>
        </w:rPr>
        <w:t>月</w:t>
      </w:r>
      <w:r w:rsidR="007F6EA8">
        <w:rPr>
          <w:rFonts w:ascii="宋体" w:eastAsia="宋体" w:hAnsi="宋体" w:cs="宋体" w:hint="eastAsia"/>
          <w:sz w:val="18"/>
          <w:szCs w:val="18"/>
        </w:rPr>
        <w:t>2</w:t>
      </w:r>
      <w:r w:rsidR="0033721B">
        <w:rPr>
          <w:rFonts w:ascii="宋体" w:eastAsia="宋体" w:hAnsi="宋体" w:cs="宋体" w:hint="eastAsia"/>
          <w:sz w:val="18"/>
          <w:szCs w:val="18"/>
        </w:rPr>
        <w:t>8</w:t>
      </w:r>
      <w:r>
        <w:rPr>
          <w:rFonts w:ascii="宋体" w:eastAsia="宋体" w:hAnsi="宋体" w:cs="宋体"/>
          <w:sz w:val="18"/>
          <w:szCs w:val="18"/>
        </w:rPr>
        <w:t>日</w:t>
      </w:r>
    </w:p>
    <w:sectPr w:rsidR="00962DC0" w:rsidSect="00962DC0">
      <w:headerReference w:type="default" r:id="rId6"/>
      <w:footerReference w:type="default" r:id="rId7"/>
      <w:pgSz w:w="11905" w:h="16840"/>
      <w:pgMar w:top="1440" w:right="1134" w:bottom="1440" w:left="1134" w:header="850"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64C" w:rsidRDefault="00AF364C" w:rsidP="00962DC0">
      <w:r>
        <w:separator/>
      </w:r>
    </w:p>
  </w:endnote>
  <w:endnote w:type="continuationSeparator" w:id="1">
    <w:p w:rsidR="00AF364C" w:rsidRDefault="00AF364C" w:rsidP="00962D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C0" w:rsidRDefault="003003A3">
    <w:pPr>
      <w:pStyle w:val="fotter1"/>
    </w:pPr>
    <w:r>
      <w:fldChar w:fldCharType="begin"/>
    </w:r>
    <w:r w:rsidR="00121A29">
      <w:instrText>PAGE   \* MERGEFORMAT</w:instrText>
    </w:r>
    <w:r>
      <w:fldChar w:fldCharType="separate"/>
    </w:r>
    <w:r w:rsidR="00F21FC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64C" w:rsidRDefault="00AF364C" w:rsidP="00962DC0">
      <w:r>
        <w:separator/>
      </w:r>
    </w:p>
  </w:footnote>
  <w:footnote w:type="continuationSeparator" w:id="1">
    <w:p w:rsidR="00AF364C" w:rsidRDefault="00AF364C" w:rsidP="00962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C0" w:rsidRDefault="00121A29">
    <w:pPr>
      <w:pStyle w:val="Header1"/>
      <w:pBdr>
        <w:bottom w:val="single" w:sz="6" w:space="1" w:color="auto"/>
      </w:pBdr>
    </w:pPr>
    <w:r>
      <w:t>广东翔鹭钨业股份有限公司2022年第三季度报告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9218"/>
  </w:hdrShapeDefaults>
  <w:footnotePr>
    <w:footnote w:id="0"/>
    <w:footnote w:id="1"/>
  </w:footnotePr>
  <w:endnotePr>
    <w:endnote w:id="0"/>
    <w:endnote w:id="1"/>
  </w:endnotePr>
  <w:compat>
    <w:useFELayout/>
  </w:compat>
  <w:rsids>
    <w:rsidRoot w:val="00962DC0"/>
    <w:rsid w:val="00121A29"/>
    <w:rsid w:val="003003A3"/>
    <w:rsid w:val="0033721B"/>
    <w:rsid w:val="003915B2"/>
    <w:rsid w:val="003D79A3"/>
    <w:rsid w:val="007F6EA8"/>
    <w:rsid w:val="00962DC0"/>
    <w:rsid w:val="00A95983"/>
    <w:rsid w:val="00AF364C"/>
    <w:rsid w:val="00BC2375"/>
    <w:rsid w:val="00BE7263"/>
    <w:rsid w:val="00F21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DC0"/>
    <w:pPr>
      <w:widowControl w:val="0"/>
    </w:pPr>
  </w:style>
  <w:style w:type="paragraph" w:styleId="2">
    <w:name w:val="heading 2"/>
    <w:basedOn w:val="a"/>
    <w:next w:val="a"/>
    <w:uiPriority w:val="9"/>
    <w:unhideWhenUsed/>
    <w:qFormat/>
    <w:rsid w:val="00962DC0"/>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rsid w:val="00962DC0"/>
    <w:pPr>
      <w:jc w:val="right"/>
    </w:pPr>
    <w:rPr>
      <w:rFonts w:ascii="宋体" w:eastAsia="宋体"/>
      <w:sz w:val="18"/>
      <w:szCs w:val="18"/>
    </w:rPr>
  </w:style>
  <w:style w:type="paragraph" w:customStyle="1" w:styleId="headingh1">
    <w:name w:val="heading h1"/>
    <w:basedOn w:val="a"/>
    <w:next w:val="a"/>
    <w:uiPriority w:val="9"/>
    <w:qFormat/>
    <w:rsid w:val="00962DC0"/>
    <w:pPr>
      <w:keepNext/>
      <w:keepLines/>
      <w:spacing w:before="240" w:after="240" w:line="578" w:lineRule="auto"/>
      <w:outlineLvl w:val="0"/>
    </w:pPr>
    <w:rPr>
      <w:kern w:val="44"/>
      <w:sz w:val="44"/>
      <w:szCs w:val="44"/>
    </w:rPr>
  </w:style>
  <w:style w:type="paragraph" w:customStyle="1" w:styleId="fotter1">
    <w:name w:val="fotter 1"/>
    <w:rsid w:val="00962DC0"/>
    <w:pPr>
      <w:jc w:val="right"/>
    </w:pPr>
    <w:rPr>
      <w:rFonts w:ascii="宋体" w:eastAsia="宋体"/>
      <w:sz w:val="18"/>
      <w:szCs w:val="18"/>
    </w:rPr>
  </w:style>
  <w:style w:type="paragraph" w:styleId="1">
    <w:name w:val="toc 1"/>
    <w:basedOn w:val="a"/>
    <w:next w:val="a"/>
    <w:autoRedefine/>
    <w:uiPriority w:val="39"/>
    <w:rsid w:val="00962DC0"/>
  </w:style>
  <w:style w:type="paragraph" w:styleId="20">
    <w:name w:val="toc 2"/>
    <w:basedOn w:val="a"/>
    <w:next w:val="a"/>
    <w:autoRedefine/>
    <w:uiPriority w:val="39"/>
    <w:unhideWhenUsed/>
    <w:rsid w:val="00962DC0"/>
    <w:pPr>
      <w:ind w:leftChars="200" w:left="420"/>
    </w:pPr>
  </w:style>
  <w:style w:type="paragraph" w:styleId="a3">
    <w:name w:val="Normal (Web)"/>
    <w:basedOn w:val="a"/>
    <w:uiPriority w:val="99"/>
    <w:semiHidden/>
    <w:unhideWhenUsed/>
    <w:rsid w:val="00962DC0"/>
    <w:pPr>
      <w:widowControl/>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sid w:val="00962DC0"/>
    <w:rPr>
      <w:b/>
      <w:bCs/>
    </w:rPr>
  </w:style>
  <w:style w:type="paragraph" w:styleId="a5">
    <w:name w:val="header"/>
    <w:basedOn w:val="a"/>
    <w:link w:val="Char"/>
    <w:uiPriority w:val="99"/>
    <w:semiHidden/>
    <w:unhideWhenUsed/>
    <w:rsid w:val="007F6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F6EA8"/>
    <w:rPr>
      <w:sz w:val="18"/>
      <w:szCs w:val="18"/>
    </w:rPr>
  </w:style>
  <w:style w:type="paragraph" w:styleId="a6">
    <w:name w:val="footer"/>
    <w:basedOn w:val="a"/>
    <w:link w:val="Char0"/>
    <w:uiPriority w:val="99"/>
    <w:semiHidden/>
    <w:unhideWhenUsed/>
    <w:rsid w:val="007F6EA8"/>
    <w:pPr>
      <w:tabs>
        <w:tab w:val="center" w:pos="4153"/>
        <w:tab w:val="right" w:pos="8306"/>
      </w:tabs>
      <w:snapToGrid w:val="0"/>
    </w:pPr>
    <w:rPr>
      <w:sz w:val="18"/>
      <w:szCs w:val="18"/>
    </w:rPr>
  </w:style>
  <w:style w:type="character" w:customStyle="1" w:styleId="Char0">
    <w:name w:val="页脚 Char"/>
    <w:basedOn w:val="a0"/>
    <w:link w:val="a6"/>
    <w:uiPriority w:val="99"/>
    <w:semiHidden/>
    <w:rsid w:val="007F6EA8"/>
    <w:rPr>
      <w:sz w:val="18"/>
      <w:szCs w:val="18"/>
    </w:rPr>
  </w:style>
</w:styles>
</file>

<file path=word/webSettings.xml><?xml version="1.0" encoding="utf-8"?>
<w:webSettings xmlns:r="http://schemas.openxmlformats.org/officeDocument/2006/relationships" xmlns:w="http://schemas.openxmlformats.org/wordprocessingml/2006/main">
  <w:divs>
    <w:div w:id="1373381381">
      <w:bodyDiv w:val="1"/>
      <w:marLeft w:val="0"/>
      <w:marRight w:val="0"/>
      <w:marTop w:val="0"/>
      <w:marBottom w:val="0"/>
      <w:divBdr>
        <w:top w:val="none" w:sz="0" w:space="0" w:color="auto"/>
        <w:left w:val="none" w:sz="0" w:space="0" w:color="auto"/>
        <w:bottom w:val="none" w:sz="0" w:space="0" w:color="auto"/>
        <w:right w:val="none" w:sz="0" w:space="0" w:color="auto"/>
      </w:divBdr>
    </w:div>
    <w:div w:id="167741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1628</Words>
  <Characters>9282</Characters>
  <Application>Microsoft Office Word</Application>
  <DocSecurity>0</DocSecurity>
  <Lines>77</Lines>
  <Paragraphs>21</Paragraphs>
  <ScaleCrop>false</ScaleCrop>
  <Company>微软中国</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5</cp:revision>
  <dcterms:created xsi:type="dcterms:W3CDTF">2022-10-27T08:48:00Z</dcterms:created>
  <dcterms:modified xsi:type="dcterms:W3CDTF">2022-10-27T12:17:00Z</dcterms:modified>
</cp:coreProperties>
</file>